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AA" w:rsidRPr="00821ADA" w:rsidRDefault="00DA77AA" w:rsidP="00821ADA">
      <w:pPr>
        <w:jc w:val="center"/>
        <w:rPr>
          <w:b/>
          <w:bCs/>
          <w:sz w:val="36"/>
          <w:szCs w:val="36"/>
        </w:rPr>
      </w:pPr>
      <w:r w:rsidRPr="00821ADA">
        <w:rPr>
          <w:b/>
          <w:bCs/>
          <w:sz w:val="36"/>
          <w:szCs w:val="36"/>
        </w:rPr>
        <w:t>Analisis Potensi Kandungan Metabolit Sekunder</w:t>
      </w:r>
    </w:p>
    <w:p w:rsidR="00DA77AA" w:rsidRPr="00821ADA" w:rsidRDefault="00DA77AA" w:rsidP="00821ADA">
      <w:pPr>
        <w:jc w:val="center"/>
        <w:rPr>
          <w:b/>
          <w:bCs/>
          <w:i/>
          <w:sz w:val="36"/>
          <w:szCs w:val="36"/>
        </w:rPr>
      </w:pPr>
      <w:r w:rsidRPr="00821ADA">
        <w:rPr>
          <w:b/>
          <w:bCs/>
          <w:sz w:val="36"/>
          <w:szCs w:val="36"/>
        </w:rPr>
        <w:t>Biji Anggur Merah (</w:t>
      </w:r>
      <w:r w:rsidRPr="00821ADA">
        <w:rPr>
          <w:b/>
          <w:bCs/>
          <w:i/>
          <w:sz w:val="36"/>
          <w:szCs w:val="36"/>
        </w:rPr>
        <w:t>Vitis vinifera</w:t>
      </w:r>
      <w:r w:rsidRPr="00821ADA">
        <w:rPr>
          <w:b/>
          <w:bCs/>
          <w:sz w:val="36"/>
          <w:szCs w:val="36"/>
        </w:rPr>
        <w:t xml:space="preserve"> L.) sebagai Senyawa Antikanker melalui Wnt5A </w:t>
      </w:r>
      <w:r w:rsidRPr="00821ADA">
        <w:rPr>
          <w:b/>
          <w:bCs/>
          <w:i/>
          <w:sz w:val="36"/>
          <w:szCs w:val="36"/>
        </w:rPr>
        <w:t>Signaling Pathway</w:t>
      </w:r>
    </w:p>
    <w:p w:rsidR="005F420B" w:rsidRPr="00821ADA" w:rsidRDefault="00DA77AA" w:rsidP="00821ADA">
      <w:pPr>
        <w:jc w:val="center"/>
        <w:rPr>
          <w:b/>
          <w:bCs/>
          <w:i/>
          <w:sz w:val="36"/>
          <w:szCs w:val="36"/>
        </w:rPr>
      </w:pPr>
      <w:proofErr w:type="gramStart"/>
      <w:r w:rsidRPr="00821ADA">
        <w:rPr>
          <w:b/>
          <w:bCs/>
          <w:sz w:val="36"/>
          <w:szCs w:val="36"/>
        </w:rPr>
        <w:t>secara</w:t>
      </w:r>
      <w:proofErr w:type="gramEnd"/>
      <w:r w:rsidRPr="00821ADA">
        <w:rPr>
          <w:b/>
          <w:bCs/>
          <w:sz w:val="36"/>
          <w:szCs w:val="36"/>
        </w:rPr>
        <w:t xml:space="preserve"> </w:t>
      </w:r>
      <w:r w:rsidRPr="00821ADA">
        <w:rPr>
          <w:b/>
          <w:bCs/>
          <w:i/>
          <w:sz w:val="36"/>
          <w:szCs w:val="36"/>
        </w:rPr>
        <w:t>In Silico</w:t>
      </w:r>
      <w:r w:rsidR="005F420B" w:rsidRPr="00821ADA">
        <w:rPr>
          <w:b/>
          <w:bCs/>
          <w:sz w:val="36"/>
          <w:szCs w:val="36"/>
        </w:rPr>
        <w:t xml:space="preserve"> </w:t>
      </w:r>
    </w:p>
    <w:p w:rsidR="005F420B" w:rsidRPr="00821ADA" w:rsidRDefault="005F420B" w:rsidP="00821ADA">
      <w:pPr>
        <w:jc w:val="center"/>
        <w:rPr>
          <w:b/>
          <w:bCs/>
          <w:sz w:val="22"/>
          <w:szCs w:val="22"/>
        </w:rPr>
      </w:pPr>
    </w:p>
    <w:p w:rsidR="005F420B" w:rsidRPr="00821ADA" w:rsidRDefault="00DA77AA" w:rsidP="00821ADA">
      <w:pPr>
        <w:pStyle w:val="Subtitle"/>
        <w:rPr>
          <w:vertAlign w:val="superscript"/>
        </w:rPr>
      </w:pPr>
      <w:r w:rsidRPr="00821ADA">
        <w:rPr>
          <w:bCs w:val="0"/>
          <w:color w:val="000000"/>
        </w:rPr>
        <w:t xml:space="preserve">Yosefa Meing Siung Adjid, Irwansyah Nur Oktafian, </w:t>
      </w:r>
      <w:proofErr w:type="gramStart"/>
      <w:r w:rsidRPr="00821ADA">
        <w:rPr>
          <w:bCs w:val="0"/>
          <w:color w:val="000000"/>
        </w:rPr>
        <w:t>Dwi</w:t>
      </w:r>
      <w:proofErr w:type="gramEnd"/>
      <w:r w:rsidRPr="00821ADA">
        <w:rPr>
          <w:bCs w:val="0"/>
          <w:color w:val="000000"/>
        </w:rPr>
        <w:t xml:space="preserve"> Listyorini</w:t>
      </w:r>
      <w:r w:rsidRPr="00821ADA">
        <w:rPr>
          <w:bCs w:val="0"/>
          <w:color w:val="000000"/>
          <w:vertAlign w:val="superscript"/>
        </w:rPr>
        <w:t>*</w:t>
      </w:r>
    </w:p>
    <w:p w:rsidR="00393254" w:rsidRPr="00821ADA" w:rsidRDefault="00393254" w:rsidP="00821ADA">
      <w:pPr>
        <w:pStyle w:val="Subtitle"/>
        <w:rPr>
          <w:b w:val="0"/>
        </w:rPr>
      </w:pPr>
      <w:r w:rsidRPr="00821ADA">
        <w:rPr>
          <w:b w:val="0"/>
        </w:rPr>
        <w:t xml:space="preserve">UM, Jl. Semarang 5 </w:t>
      </w:r>
      <w:r w:rsidRPr="00821ADA">
        <w:rPr>
          <w:b w:val="0"/>
          <w:bCs w:val="0"/>
        </w:rPr>
        <w:t>(0341)551312</w:t>
      </w:r>
      <w:r w:rsidRPr="00821ADA">
        <w:rPr>
          <w:b w:val="0"/>
        </w:rPr>
        <w:t xml:space="preserve"> </w:t>
      </w:r>
    </w:p>
    <w:p w:rsidR="00393254" w:rsidRPr="00821ADA" w:rsidRDefault="00393254" w:rsidP="00821ADA">
      <w:pPr>
        <w:jc w:val="center"/>
        <w:rPr>
          <w:sz w:val="22"/>
          <w:szCs w:val="22"/>
        </w:rPr>
      </w:pPr>
      <w:r w:rsidRPr="00821ADA">
        <w:rPr>
          <w:sz w:val="22"/>
          <w:szCs w:val="22"/>
        </w:rPr>
        <w:t xml:space="preserve">Departemen </w:t>
      </w:r>
      <w:r w:rsidR="00DA77AA" w:rsidRPr="00821ADA">
        <w:rPr>
          <w:sz w:val="22"/>
          <w:szCs w:val="22"/>
        </w:rPr>
        <w:t>Biologi</w:t>
      </w:r>
      <w:r w:rsidR="005F420B" w:rsidRPr="00821ADA">
        <w:rPr>
          <w:sz w:val="22"/>
          <w:szCs w:val="22"/>
        </w:rPr>
        <w:t>, Fakultas Matema</w:t>
      </w:r>
      <w:r w:rsidRPr="00821ADA">
        <w:rPr>
          <w:sz w:val="22"/>
          <w:szCs w:val="22"/>
        </w:rPr>
        <w:t>tika dan Ilmu Pengetahuan Alam,</w:t>
      </w:r>
    </w:p>
    <w:p w:rsidR="005F420B" w:rsidRPr="00821ADA" w:rsidRDefault="005F420B" w:rsidP="00821ADA">
      <w:pPr>
        <w:jc w:val="center"/>
        <w:rPr>
          <w:sz w:val="22"/>
          <w:szCs w:val="22"/>
        </w:rPr>
      </w:pPr>
      <w:r w:rsidRPr="00821ADA">
        <w:rPr>
          <w:sz w:val="22"/>
          <w:szCs w:val="22"/>
        </w:rPr>
        <w:t>Universitas Negeri Malang</w:t>
      </w:r>
    </w:p>
    <w:p w:rsidR="005F420B" w:rsidRPr="00821ADA" w:rsidRDefault="005F420B" w:rsidP="00821ADA">
      <w:pPr>
        <w:jc w:val="center"/>
        <w:rPr>
          <w:color w:val="0000ED"/>
          <w:sz w:val="22"/>
          <w:szCs w:val="22"/>
          <w:u w:val="single" w:color="0000ED"/>
        </w:rPr>
      </w:pPr>
      <w:r w:rsidRPr="00821ADA">
        <w:rPr>
          <w:sz w:val="22"/>
          <w:szCs w:val="22"/>
          <w:lang w:val="id-ID"/>
        </w:rPr>
        <w:t>e</w:t>
      </w:r>
      <w:r w:rsidRPr="00821ADA">
        <w:rPr>
          <w:sz w:val="22"/>
          <w:szCs w:val="22"/>
        </w:rPr>
        <w:t>-</w:t>
      </w:r>
      <w:r w:rsidRPr="00821ADA">
        <w:rPr>
          <w:sz w:val="22"/>
          <w:szCs w:val="22"/>
          <w:lang w:val="id-ID"/>
        </w:rPr>
        <w:t>mail</w:t>
      </w:r>
      <w:r w:rsidRPr="00821ADA">
        <w:rPr>
          <w:sz w:val="22"/>
          <w:szCs w:val="22"/>
        </w:rPr>
        <w:t xml:space="preserve">: </w:t>
      </w:r>
      <w:r w:rsidRPr="00821ADA">
        <w:rPr>
          <w:b/>
          <w:sz w:val="22"/>
          <w:szCs w:val="22"/>
        </w:rPr>
        <w:t>*</w:t>
      </w:r>
      <w:hyperlink r:id="rId8" w:history="1">
        <w:r w:rsidR="00DA77AA" w:rsidRPr="00821ADA">
          <w:rPr>
            <w:rStyle w:val="Hyperlink"/>
          </w:rPr>
          <w:t>listyorini.aljabari@um.ac.id</w:t>
        </w:r>
      </w:hyperlink>
    </w:p>
    <w:p w:rsidR="005F420B" w:rsidRPr="00821ADA" w:rsidRDefault="005F420B" w:rsidP="00821ADA">
      <w:pPr>
        <w:jc w:val="center"/>
        <w:rPr>
          <w:color w:val="0000ED"/>
          <w:sz w:val="22"/>
          <w:szCs w:val="22"/>
          <w:u w:val="single" w:color="0000ED"/>
        </w:rPr>
      </w:pPr>
    </w:p>
    <w:p w:rsidR="005F420B" w:rsidRPr="00821ADA" w:rsidRDefault="005F420B" w:rsidP="00821ADA">
      <w:pPr>
        <w:jc w:val="center"/>
        <w:rPr>
          <w:sz w:val="22"/>
          <w:szCs w:val="22"/>
          <w:lang w:val="id-ID"/>
        </w:rPr>
      </w:pPr>
    </w:p>
    <w:p w:rsidR="005F420B" w:rsidRPr="00821ADA" w:rsidRDefault="00393254" w:rsidP="00821ADA">
      <w:pPr>
        <w:jc w:val="center"/>
        <w:rPr>
          <w:b/>
          <w:bCs/>
          <w:i/>
          <w:iCs/>
          <w:sz w:val="22"/>
          <w:szCs w:val="22"/>
        </w:rPr>
      </w:pPr>
      <w:r w:rsidRPr="00821ADA">
        <w:rPr>
          <w:b/>
          <w:bCs/>
          <w:i/>
          <w:iCs/>
          <w:sz w:val="22"/>
          <w:szCs w:val="22"/>
        </w:rPr>
        <w:t>Abstrak</w:t>
      </w:r>
    </w:p>
    <w:p w:rsidR="005F420B" w:rsidRPr="00821ADA" w:rsidRDefault="005F420B" w:rsidP="00821ADA">
      <w:pPr>
        <w:jc w:val="center"/>
        <w:rPr>
          <w:b/>
          <w:sz w:val="22"/>
          <w:szCs w:val="22"/>
        </w:rPr>
      </w:pPr>
    </w:p>
    <w:p w:rsidR="005F420B" w:rsidRPr="00821ADA" w:rsidRDefault="00DA77AA" w:rsidP="00821ADA">
      <w:pPr>
        <w:ind w:firstLine="720"/>
        <w:jc w:val="both"/>
        <w:rPr>
          <w:i/>
          <w:iCs/>
          <w:sz w:val="22"/>
          <w:szCs w:val="22"/>
        </w:rPr>
      </w:pPr>
      <w:r w:rsidRPr="00821ADA">
        <w:rPr>
          <w:bCs/>
          <w:i/>
          <w:iCs/>
          <w:sz w:val="22"/>
          <w:szCs w:val="22"/>
        </w:rPr>
        <w:t>Kanker payudara adalah kanker paling umum di dunia dengan tingkat kematian tertinggi di Asia. Kanker payudara diakibatkan oleh pertumbuhan sel yang tidak terkendali yang disebabkan oleh faktor yang beragam. Meskipun pengobatan seperti kemoterapi dan radioterapi telah berkembang, penggunaan bahan alam sebagai alternatif pengobatan masih banyak digunakan. Salah satu bahan alam yang dilaporkan memiliki potensi sebagai obat antikanker adalah ekstrak biji anggur merah (Vitis vinifera L.). Penelitian ini bertujuan untuk menganalisis potensi metabolit sekunder biji anggur merah sebagai senyawa antikanker melalui Wnt5a signaling pathway secara in silico. Identifikasi senyawa dilakukan melalui studi pendahuluan, kemudian diseleksi dan dianalisis dengan uji RO5, ADME, toksisitas, efek samping, molecular docking, dan analisis HOMO-LUMO dengan software tertentu. Hasil menunjukkan bahwa Naringenin memiliki potensi sebagai senyawa antikanker dengan menghambat perkembangan kanker payudara. Penelitian lebih lanjut diperlukan untuk memvalidasi kemampuan antikanker dari senyawa Naringenin.</w:t>
      </w:r>
    </w:p>
    <w:p w:rsidR="005F420B" w:rsidRPr="00821ADA" w:rsidRDefault="005F420B" w:rsidP="00821ADA">
      <w:pPr>
        <w:ind w:firstLine="720"/>
        <w:jc w:val="both"/>
        <w:rPr>
          <w:i/>
          <w:sz w:val="22"/>
          <w:szCs w:val="22"/>
        </w:rPr>
      </w:pPr>
    </w:p>
    <w:p w:rsidR="005F420B" w:rsidRPr="00821ADA" w:rsidRDefault="005F420B" w:rsidP="00821ADA">
      <w:pPr>
        <w:rPr>
          <w:i/>
          <w:sz w:val="22"/>
          <w:szCs w:val="22"/>
          <w:lang w:val="id-ID"/>
        </w:rPr>
      </w:pPr>
      <w:r w:rsidRPr="00821ADA">
        <w:rPr>
          <w:b/>
          <w:i/>
          <w:iCs/>
          <w:sz w:val="22"/>
          <w:szCs w:val="22"/>
        </w:rPr>
        <w:t>Kata kunci</w:t>
      </w:r>
      <w:r w:rsidR="00A73D27" w:rsidRPr="00821ADA">
        <w:rPr>
          <w:i/>
          <w:sz w:val="22"/>
          <w:szCs w:val="22"/>
        </w:rPr>
        <w:t>:</w:t>
      </w:r>
      <w:r w:rsidRPr="00821ADA">
        <w:rPr>
          <w:i/>
          <w:sz w:val="22"/>
          <w:szCs w:val="22"/>
        </w:rPr>
        <w:t xml:space="preserve"> </w:t>
      </w:r>
      <w:r w:rsidR="00DA77AA" w:rsidRPr="00821ADA">
        <w:rPr>
          <w:i/>
          <w:sz w:val="22"/>
          <w:szCs w:val="22"/>
        </w:rPr>
        <w:t>naringenin; kanker payudara; in silico</w:t>
      </w:r>
    </w:p>
    <w:p w:rsidR="005F420B" w:rsidRPr="00821ADA" w:rsidRDefault="005F420B" w:rsidP="00821ADA">
      <w:pPr>
        <w:rPr>
          <w:i/>
          <w:sz w:val="22"/>
          <w:szCs w:val="22"/>
          <w:lang w:val="id-ID"/>
        </w:rPr>
      </w:pPr>
    </w:p>
    <w:p w:rsidR="005F420B" w:rsidRPr="00821ADA" w:rsidRDefault="005F420B" w:rsidP="00821ADA">
      <w:pPr>
        <w:rPr>
          <w:b/>
          <w:sz w:val="22"/>
          <w:szCs w:val="22"/>
        </w:rPr>
        <w:sectPr w:rsidR="005F420B" w:rsidRPr="00821ADA" w:rsidSect="00393254">
          <w:footerReference w:type="even" r:id="rId9"/>
          <w:footerReference w:type="default" r:id="rId10"/>
          <w:headerReference w:type="first" r:id="rId11"/>
          <w:footerReference w:type="first" r:id="rId12"/>
          <w:type w:val="continuous"/>
          <w:pgSz w:w="11907" w:h="16840" w:code="9"/>
          <w:pgMar w:top="1440" w:right="1440" w:bottom="1440" w:left="1440" w:header="1138" w:footer="1138" w:gutter="0"/>
          <w:pgNumType w:start="1"/>
          <w:cols w:space="720"/>
          <w:titlePg/>
          <w:docGrid w:linePitch="360"/>
        </w:sectPr>
      </w:pPr>
    </w:p>
    <w:p w:rsidR="005F420B" w:rsidRPr="00821ADA" w:rsidRDefault="005F420B" w:rsidP="00821ADA">
      <w:pPr>
        <w:jc w:val="center"/>
        <w:rPr>
          <w:b/>
          <w:sz w:val="22"/>
          <w:szCs w:val="22"/>
        </w:rPr>
      </w:pPr>
      <w:r w:rsidRPr="00821ADA">
        <w:rPr>
          <w:b/>
          <w:sz w:val="22"/>
          <w:szCs w:val="22"/>
        </w:rPr>
        <w:t>1. PENDAHULUAN</w:t>
      </w:r>
    </w:p>
    <w:p w:rsidR="005F420B" w:rsidRPr="00821ADA" w:rsidRDefault="005F420B" w:rsidP="00821ADA">
      <w:pPr>
        <w:jc w:val="center"/>
        <w:rPr>
          <w:bCs/>
          <w:sz w:val="22"/>
          <w:szCs w:val="22"/>
        </w:rPr>
      </w:pPr>
    </w:p>
    <w:p w:rsidR="00DA77AA" w:rsidRPr="00821ADA" w:rsidRDefault="00DA77AA" w:rsidP="00821ADA">
      <w:pPr>
        <w:ind w:firstLine="720"/>
        <w:jc w:val="both"/>
        <w:rPr>
          <w:sz w:val="22"/>
          <w:szCs w:val="22"/>
        </w:rPr>
      </w:pPr>
      <w:r w:rsidRPr="00821ADA">
        <w:rPr>
          <w:sz w:val="22"/>
          <w:szCs w:val="22"/>
        </w:rPr>
        <w:t xml:space="preserve">Kanker payudara menempati urutan pertama sebagai kanker yang paling banyak diderita di seluruh dunia (Globocan, 2020). Lebih dari setengah kasus seluruh kematian perempuan di dunia akibat kanker payudara berasal dari Benua Asia, disusul oleh Benua Eropa dengan persentase 20,7% dan Benua Afrika sebesar 7,1% (WHO, 2020). Menurut Coleman (2017), angka kasus baru kanker payudara meningkat sebanyak 50% di banyak negara berkembang, salah satunya di Indonesia. Pada tahun 2020, Indonesia menyumbang sekitar 396.914 kasus baru dengan jumlah angka kematian sebanyak 234.511 (Globocan, 2020). </w:t>
      </w:r>
    </w:p>
    <w:p w:rsidR="00DA77AA" w:rsidRPr="00821ADA" w:rsidRDefault="00DA77AA" w:rsidP="00821ADA">
      <w:pPr>
        <w:ind w:firstLine="720"/>
        <w:jc w:val="both"/>
        <w:rPr>
          <w:sz w:val="22"/>
          <w:szCs w:val="22"/>
        </w:rPr>
      </w:pPr>
      <w:r w:rsidRPr="00821ADA">
        <w:rPr>
          <w:sz w:val="22"/>
          <w:szCs w:val="22"/>
        </w:rPr>
        <w:t xml:space="preserve">Sejalan dengan data statistik yang buruk, kanker payudara merupakan penyakit yang diakibatkan karena proses pertumbuhan sel yang tidak terkendali sehingga menyebabkan proses proliferasi dan apoptosis sel berjalan tidak normal (Bayar &amp; Bildik, 2021). Hal tersebut dapat menyebabkan </w:t>
      </w:r>
      <w:r w:rsidRPr="00821ADA">
        <w:rPr>
          <w:sz w:val="22"/>
          <w:szCs w:val="22"/>
        </w:rPr>
        <w:t>timbulnya benjolan abnormal atau tumor bersifat ganas yang berada pada jaringan payudara (Koh &amp; Kim, 2019). Kanker payudara dapat diklasifikasikan secara histologis dan molekuler. Secara histologis, kanker payudara dibagi menjadi karsinoma dan sarkoma (Sinn &amp; Kreipe, 2013), sedangkan secara molekuler, kanker payudara dibagi menjadi beberapa subtipe yaitu Luminal A, Triple-negative (TNBC), Luminal B, dan HER2 (Zubair et al., 2021).</w:t>
      </w:r>
    </w:p>
    <w:p w:rsidR="0051620C" w:rsidRDefault="00DA77AA" w:rsidP="00821ADA">
      <w:pPr>
        <w:ind w:firstLine="720"/>
        <w:jc w:val="both"/>
        <w:rPr>
          <w:sz w:val="22"/>
          <w:szCs w:val="22"/>
        </w:rPr>
        <w:sectPr w:rsidR="0051620C" w:rsidSect="005F420B">
          <w:headerReference w:type="default" r:id="rId13"/>
          <w:footerReference w:type="default" r:id="rId14"/>
          <w:type w:val="continuous"/>
          <w:pgSz w:w="11907" w:h="16840" w:code="9"/>
          <w:pgMar w:top="1138" w:right="850" w:bottom="1138" w:left="850" w:header="1138" w:footer="1138" w:gutter="0"/>
          <w:pgNumType w:start="1"/>
          <w:cols w:num="2" w:space="720"/>
          <w:titlePg/>
          <w:docGrid w:linePitch="360"/>
        </w:sectPr>
      </w:pPr>
      <w:r w:rsidRPr="00821ADA">
        <w:rPr>
          <w:sz w:val="22"/>
          <w:szCs w:val="22"/>
        </w:rPr>
        <w:t xml:space="preserve">Kanker payudara disebabkan oleh faktor penyebab yang beragam diantaranya adalah </w:t>
      </w:r>
      <w:proofErr w:type="gramStart"/>
      <w:r w:rsidRPr="00821ADA">
        <w:rPr>
          <w:sz w:val="22"/>
          <w:szCs w:val="22"/>
        </w:rPr>
        <w:t>gaya</w:t>
      </w:r>
      <w:proofErr w:type="gramEnd"/>
      <w:r w:rsidRPr="00821ADA">
        <w:rPr>
          <w:sz w:val="22"/>
          <w:szCs w:val="22"/>
        </w:rPr>
        <w:t xml:space="preserve"> hidup yang buruk (El Sharif &amp; Khatib, 2023), reproduksi dan hormon (John et al., 2020), serta faktor genetik (Dorling et al., 2021). Beberapa </w:t>
      </w:r>
      <w:r w:rsidRPr="00821ADA">
        <w:rPr>
          <w:i/>
          <w:sz w:val="22"/>
          <w:szCs w:val="22"/>
        </w:rPr>
        <w:t>signaling pathway</w:t>
      </w:r>
      <w:r w:rsidRPr="00821ADA">
        <w:rPr>
          <w:sz w:val="22"/>
          <w:szCs w:val="22"/>
        </w:rPr>
        <w:t xml:space="preserve"> dari gen telah dilaporkan terlibat pada peningkatan faktor penyebab kanker payudara antara lain estrogen reseptor (ER) </w:t>
      </w:r>
      <w:r w:rsidRPr="00821ADA">
        <w:rPr>
          <w:i/>
          <w:sz w:val="22"/>
          <w:szCs w:val="22"/>
        </w:rPr>
        <w:t>signaling pathway</w:t>
      </w:r>
      <w:r w:rsidRPr="00821ADA">
        <w:rPr>
          <w:sz w:val="22"/>
          <w:szCs w:val="22"/>
        </w:rPr>
        <w:t xml:space="preserve"> (Wang et al., 2018), HER2 </w:t>
      </w:r>
      <w:r w:rsidRPr="00821ADA">
        <w:rPr>
          <w:i/>
          <w:sz w:val="22"/>
          <w:szCs w:val="22"/>
        </w:rPr>
        <w:t>signaling pathway</w:t>
      </w:r>
      <w:r w:rsidRPr="00821ADA">
        <w:rPr>
          <w:sz w:val="22"/>
          <w:szCs w:val="22"/>
        </w:rPr>
        <w:t xml:space="preserve"> (Liu et al., 2018), dan Wnt </w:t>
      </w:r>
      <w:r w:rsidRPr="00821ADA">
        <w:rPr>
          <w:i/>
          <w:sz w:val="22"/>
          <w:szCs w:val="22"/>
        </w:rPr>
        <w:t>signaling pathway</w:t>
      </w:r>
      <w:r w:rsidRPr="00821ADA">
        <w:rPr>
          <w:sz w:val="22"/>
          <w:szCs w:val="22"/>
        </w:rPr>
        <w:t xml:space="preserve"> (Xu et al., 2020). Wnt </w:t>
      </w:r>
      <w:r w:rsidRPr="00821ADA">
        <w:rPr>
          <w:i/>
          <w:sz w:val="22"/>
          <w:szCs w:val="22"/>
        </w:rPr>
        <w:t>signaling pathway</w:t>
      </w:r>
      <w:r w:rsidRPr="00821ADA">
        <w:rPr>
          <w:sz w:val="22"/>
          <w:szCs w:val="22"/>
        </w:rPr>
        <w:t xml:space="preserve"> saat ini merupakan target terapi yang menjanjikan dan sedang banyak di teliti </w:t>
      </w:r>
    </w:p>
    <w:p w:rsidR="00DA77AA" w:rsidRPr="00821ADA" w:rsidRDefault="00DA77AA" w:rsidP="0051620C">
      <w:pPr>
        <w:jc w:val="both"/>
        <w:rPr>
          <w:sz w:val="22"/>
          <w:szCs w:val="22"/>
        </w:rPr>
      </w:pPr>
      <w:proofErr w:type="gramStart"/>
      <w:r w:rsidRPr="00821ADA">
        <w:rPr>
          <w:sz w:val="22"/>
          <w:szCs w:val="22"/>
        </w:rPr>
        <w:lastRenderedPageBreak/>
        <w:t>sebagai</w:t>
      </w:r>
      <w:proofErr w:type="gramEnd"/>
      <w:r w:rsidRPr="00821ADA">
        <w:rPr>
          <w:sz w:val="22"/>
          <w:szCs w:val="22"/>
        </w:rPr>
        <w:t xml:space="preserve"> upaya dalam memberantas kanker dengan menghilangkan </w:t>
      </w:r>
      <w:r w:rsidRPr="00821ADA">
        <w:rPr>
          <w:i/>
          <w:sz w:val="22"/>
          <w:szCs w:val="22"/>
        </w:rPr>
        <w:t>Cancer Stem Cells</w:t>
      </w:r>
      <w:r w:rsidRPr="00821ADA">
        <w:rPr>
          <w:sz w:val="22"/>
          <w:szCs w:val="22"/>
        </w:rPr>
        <w:t xml:space="preserve"> (CSC) yang diduga berperan dalam inisiasi tumor, resiko kekambuhan, dan resistensi obat (Castagnoli et al., 2020).</w:t>
      </w:r>
    </w:p>
    <w:p w:rsidR="00DA77AA" w:rsidRPr="00821ADA" w:rsidRDefault="00DA77AA" w:rsidP="00821ADA">
      <w:pPr>
        <w:ind w:firstLine="720"/>
        <w:jc w:val="both"/>
        <w:rPr>
          <w:sz w:val="22"/>
          <w:szCs w:val="22"/>
        </w:rPr>
      </w:pPr>
      <w:r w:rsidRPr="00821ADA">
        <w:rPr>
          <w:sz w:val="22"/>
          <w:szCs w:val="22"/>
        </w:rPr>
        <w:t xml:space="preserve">Wnt </w:t>
      </w:r>
      <w:r w:rsidRPr="00821ADA">
        <w:rPr>
          <w:i/>
          <w:sz w:val="22"/>
          <w:szCs w:val="22"/>
        </w:rPr>
        <w:t>signaling pathway</w:t>
      </w:r>
      <w:r w:rsidRPr="00821ADA">
        <w:rPr>
          <w:sz w:val="22"/>
          <w:szCs w:val="22"/>
        </w:rPr>
        <w:t xml:space="preserve"> terdiri dari canonical Wnt atau Wnt/</w:t>
      </w:r>
      <w:r w:rsidRPr="00821ADA">
        <w:rPr>
          <w:i/>
          <w:sz w:val="22"/>
          <w:szCs w:val="22"/>
        </w:rPr>
        <w:t>β</w:t>
      </w:r>
      <w:r w:rsidRPr="00821ADA">
        <w:rPr>
          <w:sz w:val="22"/>
          <w:szCs w:val="22"/>
        </w:rPr>
        <w:t>-</w:t>
      </w:r>
      <w:r w:rsidRPr="00821ADA">
        <w:rPr>
          <w:i/>
          <w:sz w:val="22"/>
          <w:szCs w:val="22"/>
        </w:rPr>
        <w:t>Catenin</w:t>
      </w:r>
      <w:r w:rsidRPr="00821ADA">
        <w:rPr>
          <w:sz w:val="22"/>
          <w:szCs w:val="22"/>
        </w:rPr>
        <w:t xml:space="preserve"> </w:t>
      </w:r>
      <w:r w:rsidRPr="00821ADA">
        <w:rPr>
          <w:i/>
          <w:sz w:val="22"/>
          <w:szCs w:val="22"/>
        </w:rPr>
        <w:t>signaling pathway</w:t>
      </w:r>
      <w:r w:rsidRPr="00821ADA">
        <w:rPr>
          <w:sz w:val="22"/>
          <w:szCs w:val="22"/>
        </w:rPr>
        <w:t xml:space="preserve"> dan </w:t>
      </w:r>
      <w:r w:rsidRPr="00821ADA">
        <w:rPr>
          <w:i/>
          <w:sz w:val="22"/>
          <w:szCs w:val="22"/>
        </w:rPr>
        <w:t xml:space="preserve">non canonical </w:t>
      </w:r>
      <w:r w:rsidRPr="00821ADA">
        <w:rPr>
          <w:sz w:val="22"/>
          <w:szCs w:val="22"/>
        </w:rPr>
        <w:t>Wnt atau Wnt–</w:t>
      </w:r>
      <w:r w:rsidRPr="00821ADA">
        <w:rPr>
          <w:i/>
          <w:sz w:val="22"/>
          <w:szCs w:val="22"/>
        </w:rPr>
        <w:t>PCP signaling pathway</w:t>
      </w:r>
      <w:r w:rsidRPr="00821ADA">
        <w:rPr>
          <w:sz w:val="22"/>
          <w:szCs w:val="22"/>
        </w:rPr>
        <w:t xml:space="preserve"> dan Wnt-</w:t>
      </w:r>
      <w:r w:rsidRPr="00821ADA">
        <w:rPr>
          <w:rFonts w:ascii="Cambria Math" w:hAnsi="Cambria Math" w:cs="Cambria Math"/>
          <w:sz w:val="22"/>
          <w:szCs w:val="22"/>
        </w:rPr>
        <w:t>𝐶𝑎</w:t>
      </w:r>
      <w:r w:rsidRPr="00821ADA">
        <w:rPr>
          <w:sz w:val="22"/>
          <w:szCs w:val="22"/>
        </w:rPr>
        <w:t xml:space="preserve">2+ </w:t>
      </w:r>
      <w:r w:rsidRPr="00821ADA">
        <w:rPr>
          <w:i/>
          <w:sz w:val="22"/>
          <w:szCs w:val="22"/>
        </w:rPr>
        <w:t>signaling pathway</w:t>
      </w:r>
      <w:r w:rsidRPr="00821ADA">
        <w:rPr>
          <w:sz w:val="22"/>
          <w:szCs w:val="22"/>
        </w:rPr>
        <w:t xml:space="preserve"> (Shipitsin et al., 2007; Gujral et al., 2014). Salah satu anggota dari non canonical Wnt yang masih belum jelas perannya dalam kanker payudara adalah Wnt5a (Zeng et al., 2016). Pada awal perkembangan kanker payudara, Wnt5a dapat berikatan dengan reseptor Ryk atau FZD-3 yang dapat mengaktifkan signaling pathway dari Wnt5a dan memiliki peran untuk menghambat pertumbuhan dan migrasi sel, serta menekan ekspresi dari </w:t>
      </w:r>
      <w:r w:rsidRPr="00821ADA">
        <w:rPr>
          <w:i/>
          <w:sz w:val="22"/>
          <w:szCs w:val="22"/>
        </w:rPr>
        <w:t>canonical</w:t>
      </w:r>
      <w:r w:rsidRPr="00821ADA">
        <w:rPr>
          <w:sz w:val="22"/>
          <w:szCs w:val="22"/>
        </w:rPr>
        <w:t xml:space="preserve"> Wnt (Prieve &amp; Moon, 2003; Hansen et al., 2009; Borcherding et al., 2015).</w:t>
      </w:r>
    </w:p>
    <w:p w:rsidR="00DA77AA" w:rsidRPr="00821ADA" w:rsidRDefault="00DA77AA" w:rsidP="00821ADA">
      <w:pPr>
        <w:ind w:firstLine="720"/>
        <w:jc w:val="both"/>
        <w:rPr>
          <w:i/>
          <w:sz w:val="22"/>
          <w:szCs w:val="22"/>
        </w:rPr>
      </w:pPr>
      <w:r w:rsidRPr="00821ADA">
        <w:rPr>
          <w:sz w:val="22"/>
          <w:szCs w:val="22"/>
        </w:rPr>
        <w:t xml:space="preserve">Peneliti lain juga melaporkan bahwa pada </w:t>
      </w:r>
      <w:r w:rsidRPr="00821ADA">
        <w:rPr>
          <w:i/>
          <w:sz w:val="22"/>
          <w:szCs w:val="22"/>
        </w:rPr>
        <w:t>signaling pathway</w:t>
      </w:r>
      <w:r w:rsidRPr="00821ADA">
        <w:rPr>
          <w:sz w:val="22"/>
          <w:szCs w:val="22"/>
        </w:rPr>
        <w:t xml:space="preserve"> dari Wnt5a bisa aktif dengan berikatan pada protein G, protein PI3K (Dejmek et al., 2003), atau reseptor ROR1 (Zhang et al., 2012). </w:t>
      </w:r>
      <w:r w:rsidRPr="00821ADA">
        <w:rPr>
          <w:i/>
          <w:sz w:val="22"/>
          <w:szCs w:val="22"/>
        </w:rPr>
        <w:t>Signaling pathway</w:t>
      </w:r>
      <w:r w:rsidRPr="00821ADA">
        <w:rPr>
          <w:sz w:val="22"/>
          <w:szCs w:val="22"/>
        </w:rPr>
        <w:t xml:space="preserve"> ini berperan mengurangi adhesi sel (Zhang et al., 2012) dan berpotensi meningkatkan proliferasi sel kanker payudara sehingga ukuran tumor dapat membesar hingga 2-5 cm (Koh &amp; Kim, 2019). Wnt5a dilaporkan mengalami ekspresi yang berlebihan pada kanker payudara stadium IIIB dan IV sehingga pada penelitian tersebut diduga bahwa Wnt5a berperan dalam metastasis kanker dan menyebabkan kanker dapat berkembang menuju stadium IV (Listyorini et al., 2020). Wnt5a berikatan dengan reseptor FZD-2 (Gujral et al., 2014), protein MMP-7 (Pukrop et al., 2006), protein Dvl-2 (Zhu et al., 2013), atau protein NFAT (Dejmek et al., 2006) dalam mengaktifasi </w:t>
      </w:r>
      <w:r w:rsidRPr="00821ADA">
        <w:rPr>
          <w:i/>
          <w:sz w:val="22"/>
          <w:szCs w:val="22"/>
        </w:rPr>
        <w:t>downregulation</w:t>
      </w:r>
      <w:r w:rsidRPr="00821ADA">
        <w:rPr>
          <w:sz w:val="22"/>
          <w:szCs w:val="22"/>
        </w:rPr>
        <w:t xml:space="preserve"> Wnt5a </w:t>
      </w:r>
      <w:r w:rsidRPr="00821ADA">
        <w:rPr>
          <w:i/>
          <w:sz w:val="22"/>
          <w:szCs w:val="22"/>
        </w:rPr>
        <w:t>signaling pathway.</w:t>
      </w:r>
    </w:p>
    <w:p w:rsidR="00DA77AA" w:rsidRPr="00821ADA" w:rsidRDefault="00DA77AA" w:rsidP="00821ADA">
      <w:pPr>
        <w:ind w:firstLine="720"/>
        <w:jc w:val="both"/>
        <w:rPr>
          <w:sz w:val="22"/>
          <w:szCs w:val="22"/>
        </w:rPr>
      </w:pPr>
      <w:r w:rsidRPr="00821ADA">
        <w:rPr>
          <w:sz w:val="22"/>
          <w:szCs w:val="22"/>
        </w:rPr>
        <w:t xml:space="preserve">Pengobatan kanker payudara yang menargetkan Wnt5a </w:t>
      </w:r>
      <w:r w:rsidRPr="00821ADA">
        <w:rPr>
          <w:i/>
          <w:sz w:val="22"/>
          <w:szCs w:val="22"/>
        </w:rPr>
        <w:t>signaling pathway</w:t>
      </w:r>
      <w:r w:rsidRPr="00821ADA">
        <w:rPr>
          <w:sz w:val="22"/>
          <w:szCs w:val="22"/>
        </w:rPr>
        <w:t xml:space="preserve"> saat ini sudah sangat berkembang seperti kemoterapi dan radioterapi, namun masih banyak dari masyarakat yang menggunakan bahan alam sebagai alternatif pengobatan penyakit (Yuan et al., 2016; Burguin et al., 2021). Salah satu bahan alam yang di laporkan oleh peneliti memiliki efek antikanker adalah biji anggur merah (</w:t>
      </w:r>
      <w:r w:rsidRPr="00821ADA">
        <w:rPr>
          <w:i/>
          <w:sz w:val="22"/>
          <w:szCs w:val="22"/>
        </w:rPr>
        <w:t>Vitis vinifera</w:t>
      </w:r>
      <w:r w:rsidRPr="00821ADA">
        <w:rPr>
          <w:sz w:val="22"/>
          <w:szCs w:val="22"/>
        </w:rPr>
        <w:t xml:space="preserve"> L.). Ekstrak dari biji anggur merah (</w:t>
      </w:r>
      <w:r w:rsidRPr="00821ADA">
        <w:rPr>
          <w:i/>
          <w:sz w:val="22"/>
          <w:szCs w:val="22"/>
        </w:rPr>
        <w:t>Vitis vinifera</w:t>
      </w:r>
      <w:r w:rsidRPr="00821ADA">
        <w:rPr>
          <w:sz w:val="22"/>
          <w:szCs w:val="22"/>
        </w:rPr>
        <w:t xml:space="preserve"> L.) menghasilkan senyawa fenolik yang dapat menginduksi apoptosis sel pada sel kanker payudara MCF-7, memicu </w:t>
      </w:r>
      <w:r w:rsidRPr="00821ADA">
        <w:rPr>
          <w:i/>
          <w:sz w:val="22"/>
          <w:szCs w:val="22"/>
        </w:rPr>
        <w:t>transient gap-junction-intercellular communications</w:t>
      </w:r>
      <w:r w:rsidRPr="00821ADA">
        <w:rPr>
          <w:sz w:val="22"/>
          <w:szCs w:val="22"/>
        </w:rPr>
        <w:t xml:space="preserve"> (GJIC), meningkatkan ekspresi gen cx34 (Leone et al., 2019), menekan estrogen (Wahner- Roedler et al., 2014), dan dapat menghambat pertumbuhan sel kanker payudara </w:t>
      </w:r>
      <w:r w:rsidRPr="00821ADA">
        <w:rPr>
          <w:sz w:val="22"/>
          <w:szCs w:val="22"/>
        </w:rPr>
        <w:t xml:space="preserve">MCF-7 dengan menekan ekspresi dari EGFR/VEGF/MMP9 </w:t>
      </w:r>
      <w:r w:rsidRPr="00821ADA">
        <w:rPr>
          <w:i/>
          <w:sz w:val="22"/>
          <w:szCs w:val="22"/>
        </w:rPr>
        <w:t>signaling pathway</w:t>
      </w:r>
      <w:r w:rsidRPr="00821ADA">
        <w:rPr>
          <w:sz w:val="22"/>
          <w:szCs w:val="22"/>
        </w:rPr>
        <w:t xml:space="preserve"> (Kong et al., 2021).</w:t>
      </w:r>
    </w:p>
    <w:p w:rsidR="005F420B" w:rsidRPr="00821ADA" w:rsidRDefault="00DA77AA" w:rsidP="00821ADA">
      <w:pPr>
        <w:ind w:firstLine="720"/>
        <w:jc w:val="both"/>
        <w:rPr>
          <w:rFonts w:eastAsia="Batang"/>
          <w:sz w:val="22"/>
          <w:szCs w:val="22"/>
          <w:lang w:eastAsia="ko-KR"/>
        </w:rPr>
      </w:pPr>
      <w:r w:rsidRPr="00821ADA">
        <w:rPr>
          <w:sz w:val="22"/>
          <w:szCs w:val="22"/>
        </w:rPr>
        <w:t>Berdasarkan latar belakang di atas, dapat diketahui bahwa kandungan metabolit sekunder pada biji anggur merah (</w:t>
      </w:r>
      <w:r w:rsidRPr="00821ADA">
        <w:rPr>
          <w:i/>
          <w:sz w:val="22"/>
          <w:szCs w:val="22"/>
        </w:rPr>
        <w:t>Vitis vinifera</w:t>
      </w:r>
      <w:r w:rsidRPr="00821ADA">
        <w:rPr>
          <w:sz w:val="22"/>
          <w:szCs w:val="22"/>
        </w:rPr>
        <w:t xml:space="preserve"> L.) memiliki potensi sebagai senyawa antikanker, namun masih belum ada yang meneliti melalui Wnt5a </w:t>
      </w:r>
      <w:r w:rsidRPr="00821ADA">
        <w:rPr>
          <w:i/>
          <w:sz w:val="22"/>
          <w:szCs w:val="22"/>
        </w:rPr>
        <w:t>signaling pathway</w:t>
      </w:r>
      <w:r w:rsidRPr="00821ADA">
        <w:rPr>
          <w:sz w:val="22"/>
          <w:szCs w:val="22"/>
        </w:rPr>
        <w:t xml:space="preserve">. Oleh karena itu, penelitian ini </w:t>
      </w:r>
      <w:proofErr w:type="gramStart"/>
      <w:r w:rsidRPr="00821ADA">
        <w:rPr>
          <w:sz w:val="22"/>
          <w:szCs w:val="22"/>
        </w:rPr>
        <w:t>akan</w:t>
      </w:r>
      <w:proofErr w:type="gramEnd"/>
      <w:r w:rsidRPr="00821ADA">
        <w:rPr>
          <w:sz w:val="22"/>
          <w:szCs w:val="22"/>
        </w:rPr>
        <w:t xml:space="preserve"> menganalisis potensi kandungan metabolit sekunder pada biji anggur merah (</w:t>
      </w:r>
      <w:r w:rsidRPr="00821ADA">
        <w:rPr>
          <w:i/>
          <w:sz w:val="22"/>
          <w:szCs w:val="22"/>
        </w:rPr>
        <w:t>Vitis vinifera</w:t>
      </w:r>
      <w:r w:rsidRPr="00821ADA">
        <w:rPr>
          <w:sz w:val="22"/>
          <w:szCs w:val="22"/>
        </w:rPr>
        <w:t xml:space="preserve"> L.) sebagai senyawa antikanker melalui Wnt5a </w:t>
      </w:r>
      <w:r w:rsidRPr="00821ADA">
        <w:rPr>
          <w:i/>
          <w:sz w:val="22"/>
          <w:szCs w:val="22"/>
        </w:rPr>
        <w:t>signaling pathway</w:t>
      </w:r>
      <w:r w:rsidRPr="00821ADA">
        <w:rPr>
          <w:sz w:val="22"/>
          <w:szCs w:val="22"/>
        </w:rPr>
        <w:t xml:space="preserve"> secara in silico.</w:t>
      </w:r>
    </w:p>
    <w:p w:rsidR="005F420B" w:rsidRPr="00821ADA" w:rsidRDefault="005F420B" w:rsidP="00821ADA">
      <w:pPr>
        <w:jc w:val="both"/>
        <w:rPr>
          <w:rFonts w:eastAsia="Batang"/>
          <w:sz w:val="22"/>
          <w:szCs w:val="22"/>
          <w:lang w:eastAsia="ko-KR"/>
        </w:rPr>
      </w:pPr>
    </w:p>
    <w:p w:rsidR="005F420B" w:rsidRPr="00821ADA" w:rsidRDefault="005F420B" w:rsidP="00821ADA">
      <w:pPr>
        <w:jc w:val="center"/>
        <w:rPr>
          <w:b/>
          <w:sz w:val="22"/>
          <w:szCs w:val="22"/>
        </w:rPr>
      </w:pPr>
      <w:r w:rsidRPr="00821ADA">
        <w:rPr>
          <w:b/>
          <w:sz w:val="22"/>
          <w:szCs w:val="22"/>
          <w:lang w:val="id-ID"/>
        </w:rPr>
        <w:t xml:space="preserve">2. </w:t>
      </w:r>
      <w:r w:rsidRPr="00821ADA">
        <w:rPr>
          <w:b/>
          <w:sz w:val="22"/>
          <w:szCs w:val="22"/>
        </w:rPr>
        <w:t xml:space="preserve">METODE </w:t>
      </w:r>
    </w:p>
    <w:p w:rsidR="005F420B" w:rsidRPr="00821ADA" w:rsidRDefault="005F420B" w:rsidP="00821ADA">
      <w:pPr>
        <w:jc w:val="center"/>
        <w:rPr>
          <w:bCs/>
          <w:sz w:val="22"/>
          <w:szCs w:val="22"/>
          <w:lang w:val="id-ID"/>
        </w:rPr>
      </w:pPr>
    </w:p>
    <w:p w:rsidR="005F420B" w:rsidRPr="00821ADA" w:rsidRDefault="005F420B" w:rsidP="00821ADA">
      <w:pPr>
        <w:jc w:val="both"/>
        <w:rPr>
          <w:b/>
          <w:sz w:val="22"/>
          <w:szCs w:val="22"/>
        </w:rPr>
      </w:pPr>
      <w:r w:rsidRPr="00821ADA">
        <w:rPr>
          <w:b/>
          <w:sz w:val="22"/>
          <w:szCs w:val="22"/>
        </w:rPr>
        <w:t xml:space="preserve">2.1 </w:t>
      </w:r>
      <w:r w:rsidR="00636C2C" w:rsidRPr="00821ADA">
        <w:rPr>
          <w:b/>
          <w:bCs/>
          <w:sz w:val="22"/>
          <w:szCs w:val="22"/>
        </w:rPr>
        <w:t>Jenis Penelitian dan Instrumen</w:t>
      </w:r>
    </w:p>
    <w:p w:rsidR="00636C2C" w:rsidRPr="00821ADA" w:rsidRDefault="00636C2C" w:rsidP="00821ADA">
      <w:pPr>
        <w:ind w:firstLine="720"/>
        <w:jc w:val="both"/>
        <w:rPr>
          <w:sz w:val="22"/>
          <w:szCs w:val="22"/>
        </w:rPr>
      </w:pPr>
      <w:r w:rsidRPr="00821ADA">
        <w:rPr>
          <w:sz w:val="22"/>
          <w:szCs w:val="22"/>
        </w:rPr>
        <w:t xml:space="preserve">Penelitian yang dilakukan adalah penelitian deskriptif eksploratif dengan melakukan analisis in silico yang dilaksanakan pada bulan Januari – Mei 2024 dan dilakukan di Departemen Biologi, Fakultas Matematika dan Ilmu Pengetahuan Alam (FMIPA), Universitas Negeri Malang. Instrumen penelitian yang digunakan pada penelitian ini antara lain </w:t>
      </w:r>
      <w:r w:rsidRPr="00821ADA">
        <w:rPr>
          <w:i/>
          <w:sz w:val="22"/>
          <w:szCs w:val="22"/>
        </w:rPr>
        <w:t>webserver</w:t>
      </w:r>
      <w:r w:rsidRPr="00821ADA">
        <w:rPr>
          <w:sz w:val="22"/>
          <w:szCs w:val="22"/>
        </w:rPr>
        <w:t xml:space="preserve">, </w:t>
      </w:r>
      <w:r w:rsidRPr="00821ADA">
        <w:rPr>
          <w:i/>
          <w:sz w:val="22"/>
          <w:szCs w:val="22"/>
        </w:rPr>
        <w:t>software</w:t>
      </w:r>
      <w:r w:rsidRPr="00821ADA">
        <w:rPr>
          <w:sz w:val="22"/>
          <w:szCs w:val="22"/>
        </w:rPr>
        <w:t xml:space="preserve">, laptop Lenovo Celeron N3160 RAM 4 GB dengan sistem operasi Windows 10, sampel penelitian berupa reseptor FZD-2, FZD-3, ROR1, Ryk dan protein target PI3K, MMP-7, NFAT, Dvl-2, G protein yang terlibat dalam Wnt5a </w:t>
      </w:r>
      <w:r w:rsidRPr="00821ADA">
        <w:rPr>
          <w:i/>
          <w:sz w:val="22"/>
          <w:szCs w:val="22"/>
        </w:rPr>
        <w:t>signaling pathway</w:t>
      </w:r>
      <w:r w:rsidRPr="00821ADA">
        <w:rPr>
          <w:sz w:val="22"/>
          <w:szCs w:val="22"/>
        </w:rPr>
        <w:t xml:space="preserve"> serta menggunakan ligan yang berasal dari kandungan metabolit sekunder biji anggur merah (</w:t>
      </w:r>
      <w:r w:rsidRPr="00821ADA">
        <w:rPr>
          <w:i/>
          <w:sz w:val="22"/>
          <w:szCs w:val="22"/>
        </w:rPr>
        <w:t>Vitis vinifera</w:t>
      </w:r>
      <w:r w:rsidRPr="00821ADA">
        <w:rPr>
          <w:sz w:val="22"/>
          <w:szCs w:val="22"/>
        </w:rPr>
        <w:t xml:space="preserve"> L.). </w:t>
      </w:r>
      <w:r w:rsidRPr="00821ADA">
        <w:rPr>
          <w:i/>
          <w:sz w:val="22"/>
          <w:szCs w:val="22"/>
        </w:rPr>
        <w:t>Webserver</w:t>
      </w:r>
      <w:r w:rsidRPr="00821ADA">
        <w:rPr>
          <w:sz w:val="22"/>
          <w:szCs w:val="22"/>
        </w:rPr>
        <w:t xml:space="preserve"> yang digunakan yaitu Swiss ADME, PubChem, pkCSM, Toxicity Checker, KnapSack Family, Protox III, Protein Data Bank (PDB), admetSAR 2.0, dan Way2Drug. </w:t>
      </w:r>
      <w:r w:rsidRPr="00821ADA">
        <w:rPr>
          <w:i/>
          <w:sz w:val="22"/>
          <w:szCs w:val="22"/>
        </w:rPr>
        <w:t>Software</w:t>
      </w:r>
      <w:r w:rsidRPr="00821ADA">
        <w:rPr>
          <w:sz w:val="22"/>
          <w:szCs w:val="22"/>
        </w:rPr>
        <w:t xml:space="preserve"> yang digunakan yaitu Open Babel, Gaussian09W, AutoDock Tools, Gaussview, BioVia Studio Visualizer, dan Autodock 4.2.</w:t>
      </w:r>
    </w:p>
    <w:p w:rsidR="00636C2C" w:rsidRPr="00821ADA" w:rsidRDefault="00636C2C" w:rsidP="00821ADA">
      <w:pPr>
        <w:ind w:firstLine="720"/>
        <w:jc w:val="both"/>
        <w:rPr>
          <w:sz w:val="22"/>
          <w:szCs w:val="22"/>
        </w:rPr>
      </w:pPr>
    </w:p>
    <w:p w:rsidR="005F420B" w:rsidRPr="00821ADA" w:rsidRDefault="005F420B" w:rsidP="00821ADA">
      <w:pPr>
        <w:jc w:val="both"/>
        <w:rPr>
          <w:b/>
          <w:sz w:val="22"/>
          <w:szCs w:val="22"/>
        </w:rPr>
      </w:pPr>
      <w:r w:rsidRPr="00821ADA">
        <w:rPr>
          <w:b/>
          <w:sz w:val="22"/>
          <w:szCs w:val="22"/>
        </w:rPr>
        <w:t xml:space="preserve">2.2 </w:t>
      </w:r>
      <w:r w:rsidR="00636C2C" w:rsidRPr="00821ADA">
        <w:rPr>
          <w:b/>
          <w:sz w:val="22"/>
          <w:szCs w:val="22"/>
        </w:rPr>
        <w:t>Tahapan Penelitian</w:t>
      </w:r>
    </w:p>
    <w:p w:rsidR="00636C2C" w:rsidRPr="00821ADA" w:rsidRDefault="00636C2C" w:rsidP="00821ADA">
      <w:pPr>
        <w:jc w:val="both"/>
        <w:rPr>
          <w:b/>
          <w:bCs/>
          <w:sz w:val="22"/>
          <w:szCs w:val="22"/>
        </w:rPr>
      </w:pPr>
      <w:r w:rsidRPr="00821ADA">
        <w:rPr>
          <w:b/>
          <w:bCs/>
          <w:sz w:val="22"/>
          <w:szCs w:val="22"/>
        </w:rPr>
        <w:t>2.2.1   Identifikasi Senyawa Metabolit Sekunder Biji Anggur Merah (Vitis vinifera L.)</w:t>
      </w:r>
    </w:p>
    <w:p w:rsidR="00636C2C" w:rsidRPr="00821ADA" w:rsidRDefault="00636C2C" w:rsidP="00821ADA">
      <w:pPr>
        <w:ind w:firstLine="720"/>
        <w:jc w:val="both"/>
        <w:rPr>
          <w:sz w:val="22"/>
          <w:szCs w:val="22"/>
        </w:rPr>
      </w:pPr>
      <w:r w:rsidRPr="00821ADA">
        <w:rPr>
          <w:sz w:val="22"/>
          <w:szCs w:val="22"/>
        </w:rPr>
        <w:t>Identifikasi senyawa metabolit sekunder biji anggur merah (</w:t>
      </w:r>
      <w:r w:rsidRPr="00821ADA">
        <w:rPr>
          <w:i/>
          <w:sz w:val="22"/>
          <w:szCs w:val="22"/>
        </w:rPr>
        <w:t>Vitis vinifera</w:t>
      </w:r>
      <w:r w:rsidRPr="00821ADA">
        <w:rPr>
          <w:sz w:val="22"/>
          <w:szCs w:val="22"/>
        </w:rPr>
        <w:t xml:space="preserve"> L.) diawali dengan melakukan studi pendahuluan dan kemudian mendeskripsikan metabolit sekunder yang didapat melalui </w:t>
      </w:r>
      <w:r w:rsidRPr="00821ADA">
        <w:rPr>
          <w:i/>
          <w:sz w:val="22"/>
          <w:szCs w:val="22"/>
        </w:rPr>
        <w:t>webserver</w:t>
      </w:r>
      <w:r w:rsidRPr="00821ADA">
        <w:rPr>
          <w:sz w:val="22"/>
          <w:szCs w:val="22"/>
        </w:rPr>
        <w:t xml:space="preserve"> KnapSack Family (http://www.knapsackFamily.com/KNApSAcK_Family/) dan </w:t>
      </w:r>
      <w:r w:rsidRPr="00821ADA">
        <w:rPr>
          <w:i/>
          <w:sz w:val="22"/>
          <w:szCs w:val="22"/>
        </w:rPr>
        <w:t>webserver</w:t>
      </w:r>
      <w:r w:rsidRPr="00821ADA">
        <w:rPr>
          <w:sz w:val="22"/>
          <w:szCs w:val="22"/>
        </w:rPr>
        <w:t xml:space="preserve"> PubChem (</w:t>
      </w:r>
      <w:hyperlink r:id="rId15" w:history="1">
        <w:r w:rsidRPr="00821ADA">
          <w:rPr>
            <w:rStyle w:val="Hyperlink"/>
            <w:sz w:val="22"/>
            <w:szCs w:val="22"/>
          </w:rPr>
          <w:t>https://pubchem.ncbi.nlm.nih.gov</w:t>
        </w:r>
      </w:hyperlink>
      <w:r w:rsidRPr="00821ADA">
        <w:rPr>
          <w:sz w:val="22"/>
          <w:szCs w:val="22"/>
        </w:rPr>
        <w:t>).</w:t>
      </w:r>
    </w:p>
    <w:p w:rsidR="00636C2C" w:rsidRPr="00821ADA" w:rsidRDefault="00636C2C" w:rsidP="00821ADA">
      <w:pPr>
        <w:jc w:val="both"/>
        <w:rPr>
          <w:b/>
          <w:bCs/>
          <w:sz w:val="22"/>
          <w:szCs w:val="22"/>
        </w:rPr>
      </w:pPr>
    </w:p>
    <w:p w:rsidR="00636C2C" w:rsidRPr="00821ADA" w:rsidRDefault="00636C2C" w:rsidP="00821ADA">
      <w:pPr>
        <w:spacing w:line="259" w:lineRule="auto"/>
        <w:rPr>
          <w:b/>
          <w:bCs/>
          <w:sz w:val="22"/>
          <w:szCs w:val="22"/>
        </w:rPr>
      </w:pPr>
      <w:r w:rsidRPr="00821ADA">
        <w:rPr>
          <w:b/>
          <w:bCs/>
          <w:sz w:val="22"/>
          <w:szCs w:val="22"/>
        </w:rPr>
        <w:br w:type="page"/>
      </w:r>
    </w:p>
    <w:p w:rsidR="0051620C" w:rsidRDefault="0051620C" w:rsidP="00821ADA">
      <w:pPr>
        <w:jc w:val="both"/>
        <w:rPr>
          <w:b/>
          <w:bCs/>
          <w:sz w:val="22"/>
          <w:szCs w:val="22"/>
        </w:rPr>
        <w:sectPr w:rsidR="0051620C" w:rsidSect="0051620C">
          <w:headerReference w:type="first" r:id="rId16"/>
          <w:footerReference w:type="first" r:id="rId17"/>
          <w:pgSz w:w="11907" w:h="16840" w:code="9"/>
          <w:pgMar w:top="1138" w:right="850" w:bottom="1138" w:left="850" w:header="1138" w:footer="1138" w:gutter="0"/>
          <w:pgNumType w:start="1"/>
          <w:cols w:num="2" w:space="720"/>
          <w:titlePg/>
          <w:docGrid w:linePitch="360"/>
        </w:sectPr>
      </w:pPr>
    </w:p>
    <w:p w:rsidR="00636C2C" w:rsidRPr="00821ADA" w:rsidRDefault="00636C2C" w:rsidP="00821ADA">
      <w:pPr>
        <w:jc w:val="both"/>
        <w:rPr>
          <w:b/>
          <w:bCs/>
          <w:sz w:val="22"/>
          <w:szCs w:val="22"/>
        </w:rPr>
      </w:pPr>
      <w:r w:rsidRPr="00821ADA">
        <w:rPr>
          <w:b/>
          <w:bCs/>
          <w:sz w:val="22"/>
          <w:szCs w:val="22"/>
        </w:rPr>
        <w:lastRenderedPageBreak/>
        <w:t xml:space="preserve">2.2.2 </w:t>
      </w:r>
      <w:r w:rsidRPr="00821ADA">
        <w:rPr>
          <w:b/>
          <w:bCs/>
          <w:sz w:val="22"/>
          <w:szCs w:val="22"/>
        </w:rPr>
        <w:tab/>
        <w:t>Identifikasi Reseptor dan Protein Target Melalui Wnt5a Signaling Pathway</w:t>
      </w:r>
    </w:p>
    <w:p w:rsidR="003C1B3C" w:rsidRPr="00821ADA" w:rsidRDefault="00636C2C" w:rsidP="00821ADA">
      <w:pPr>
        <w:jc w:val="both"/>
        <w:rPr>
          <w:sz w:val="22"/>
          <w:szCs w:val="22"/>
        </w:rPr>
      </w:pPr>
      <w:r w:rsidRPr="00821ADA">
        <w:rPr>
          <w:sz w:val="22"/>
          <w:szCs w:val="22"/>
        </w:rPr>
        <w:t xml:space="preserve">Reseptor dan protein target yang dipilih dalam penelitian ini yaitu FZD- 2, FZD-3, ROR1, Ryk, PI3K, MMP-7, NFAT, Dvl-2, dan G Protein. Database reseptor dan protein target dapat di unduh melalui </w:t>
      </w:r>
      <w:r w:rsidRPr="00821ADA">
        <w:rPr>
          <w:i/>
          <w:sz w:val="22"/>
          <w:szCs w:val="22"/>
        </w:rPr>
        <w:t>webserver</w:t>
      </w:r>
      <w:r w:rsidRPr="00821ADA">
        <w:rPr>
          <w:sz w:val="22"/>
          <w:szCs w:val="22"/>
        </w:rPr>
        <w:t xml:space="preserve"> Protein Data Bank (PDB) (</w:t>
      </w:r>
      <w:hyperlink r:id="rId18" w:history="1">
        <w:r w:rsidRPr="00821ADA">
          <w:rPr>
            <w:rStyle w:val="Hyperlink"/>
            <w:sz w:val="22"/>
            <w:szCs w:val="22"/>
          </w:rPr>
          <w:t>https://www.rcsb.org/pdb/home/home.do</w:t>
        </w:r>
      </w:hyperlink>
      <w:r w:rsidRPr="00821ADA">
        <w:rPr>
          <w:sz w:val="22"/>
          <w:szCs w:val="22"/>
        </w:rPr>
        <w:t>).</w:t>
      </w:r>
    </w:p>
    <w:p w:rsidR="00636C2C" w:rsidRPr="00821ADA" w:rsidRDefault="00636C2C" w:rsidP="00821ADA">
      <w:pPr>
        <w:jc w:val="both"/>
        <w:rPr>
          <w:sz w:val="22"/>
          <w:szCs w:val="22"/>
        </w:rPr>
      </w:pPr>
    </w:p>
    <w:p w:rsidR="00636C2C" w:rsidRPr="00821ADA" w:rsidRDefault="00636C2C" w:rsidP="00821ADA">
      <w:pPr>
        <w:jc w:val="both"/>
        <w:rPr>
          <w:b/>
          <w:sz w:val="22"/>
          <w:szCs w:val="22"/>
        </w:rPr>
      </w:pPr>
      <w:r w:rsidRPr="00821ADA">
        <w:rPr>
          <w:b/>
          <w:sz w:val="22"/>
          <w:szCs w:val="22"/>
        </w:rPr>
        <w:t>2.2.3</w:t>
      </w:r>
      <w:r w:rsidRPr="00821ADA">
        <w:rPr>
          <w:b/>
          <w:sz w:val="22"/>
          <w:szCs w:val="22"/>
        </w:rPr>
        <w:tab/>
        <w:t>Analisis Potensi Senyawa Metabolit Sekunder Biji Anggur Merah (</w:t>
      </w:r>
      <w:r w:rsidRPr="00821ADA">
        <w:rPr>
          <w:b/>
          <w:i/>
          <w:sz w:val="22"/>
          <w:szCs w:val="22"/>
        </w:rPr>
        <w:t>Vitis vinifera</w:t>
      </w:r>
      <w:r w:rsidRPr="00821ADA">
        <w:rPr>
          <w:b/>
          <w:sz w:val="22"/>
          <w:szCs w:val="22"/>
        </w:rPr>
        <w:t xml:space="preserve"> L.) Menurut Lipinski’s Rule (RO5)</w:t>
      </w:r>
    </w:p>
    <w:p w:rsidR="00636C2C" w:rsidRPr="00821ADA" w:rsidRDefault="00636C2C" w:rsidP="00821ADA">
      <w:pPr>
        <w:ind w:firstLine="720"/>
        <w:jc w:val="both"/>
        <w:rPr>
          <w:sz w:val="22"/>
          <w:szCs w:val="22"/>
        </w:rPr>
      </w:pPr>
      <w:r w:rsidRPr="00821ADA">
        <w:rPr>
          <w:sz w:val="22"/>
          <w:szCs w:val="22"/>
        </w:rPr>
        <w:t>Potensi senyawa metabolit sekunder biji anggur merah (</w:t>
      </w:r>
      <w:r w:rsidRPr="00821ADA">
        <w:rPr>
          <w:i/>
          <w:sz w:val="22"/>
          <w:szCs w:val="22"/>
        </w:rPr>
        <w:t>Vitis vinifera</w:t>
      </w:r>
      <w:r w:rsidRPr="00821ADA">
        <w:rPr>
          <w:sz w:val="22"/>
          <w:szCs w:val="22"/>
        </w:rPr>
        <w:t xml:space="preserve"> L.) berdasarkan Lipinski’s Rule (RO5) dapat dianalisis melalui </w:t>
      </w:r>
      <w:r w:rsidRPr="00821ADA">
        <w:rPr>
          <w:i/>
          <w:sz w:val="22"/>
          <w:szCs w:val="22"/>
        </w:rPr>
        <w:t>webserver</w:t>
      </w:r>
      <w:r w:rsidRPr="00821ADA">
        <w:rPr>
          <w:sz w:val="22"/>
          <w:szCs w:val="22"/>
        </w:rPr>
        <w:t xml:space="preserve"> SwissADME (http://www.swissadme.ch) dengan memasukkan smile ID senyawa yang akan dianalisis dan di ambil data massa molekul, </w:t>
      </w:r>
      <w:r w:rsidRPr="00821ADA">
        <w:rPr>
          <w:i/>
          <w:sz w:val="22"/>
          <w:szCs w:val="22"/>
        </w:rPr>
        <w:t>hydrogen</w:t>
      </w:r>
      <w:r w:rsidRPr="00821ADA">
        <w:rPr>
          <w:sz w:val="22"/>
          <w:szCs w:val="22"/>
        </w:rPr>
        <w:t xml:space="preserve"> </w:t>
      </w:r>
      <w:r w:rsidRPr="00821ADA">
        <w:rPr>
          <w:i/>
          <w:sz w:val="22"/>
          <w:szCs w:val="22"/>
        </w:rPr>
        <w:t>bond</w:t>
      </w:r>
      <w:r w:rsidRPr="00821ADA">
        <w:rPr>
          <w:sz w:val="22"/>
          <w:szCs w:val="22"/>
        </w:rPr>
        <w:t xml:space="preserve"> </w:t>
      </w:r>
      <w:r w:rsidRPr="00821ADA">
        <w:rPr>
          <w:i/>
          <w:sz w:val="22"/>
          <w:szCs w:val="22"/>
        </w:rPr>
        <w:t>acceptor</w:t>
      </w:r>
      <w:r w:rsidRPr="00821ADA">
        <w:rPr>
          <w:sz w:val="22"/>
          <w:szCs w:val="22"/>
        </w:rPr>
        <w:t xml:space="preserve"> (HBA),</w:t>
      </w:r>
      <w:r w:rsidRPr="00821ADA">
        <w:rPr>
          <w:i/>
          <w:sz w:val="22"/>
          <w:szCs w:val="22"/>
        </w:rPr>
        <w:t xml:space="preserve"> hydrogen bond donor</w:t>
      </w:r>
      <w:r w:rsidRPr="00821ADA">
        <w:rPr>
          <w:sz w:val="22"/>
          <w:szCs w:val="22"/>
        </w:rPr>
        <w:t xml:space="preserve"> (HBD), </w:t>
      </w:r>
      <w:r w:rsidRPr="00821ADA">
        <w:rPr>
          <w:i/>
          <w:sz w:val="22"/>
          <w:szCs w:val="22"/>
        </w:rPr>
        <w:t>Molecular Refractivity</w:t>
      </w:r>
      <w:r w:rsidRPr="00821ADA">
        <w:rPr>
          <w:sz w:val="22"/>
          <w:szCs w:val="22"/>
        </w:rPr>
        <w:t xml:space="preserve"> (MR), dan lipofilisitas (log P).</w:t>
      </w:r>
    </w:p>
    <w:p w:rsidR="00636C2C" w:rsidRPr="00821ADA" w:rsidRDefault="00636C2C" w:rsidP="00821ADA">
      <w:pPr>
        <w:jc w:val="both"/>
        <w:rPr>
          <w:b/>
          <w:bCs/>
          <w:sz w:val="22"/>
          <w:szCs w:val="22"/>
        </w:rPr>
      </w:pPr>
    </w:p>
    <w:p w:rsidR="00636C2C" w:rsidRPr="00821ADA" w:rsidRDefault="00636C2C" w:rsidP="00821ADA">
      <w:pPr>
        <w:jc w:val="both"/>
        <w:rPr>
          <w:b/>
          <w:bCs/>
          <w:sz w:val="22"/>
          <w:szCs w:val="22"/>
        </w:rPr>
      </w:pPr>
      <w:r w:rsidRPr="00821ADA">
        <w:rPr>
          <w:b/>
          <w:bCs/>
          <w:sz w:val="22"/>
          <w:szCs w:val="22"/>
        </w:rPr>
        <w:t>2.2.4   Analisis Senyawa Metabolit Sekunder Biji Anggur Merah (Vitis vinifera L.) Menurut ADME Test</w:t>
      </w:r>
    </w:p>
    <w:p w:rsidR="00636C2C" w:rsidRPr="00821ADA" w:rsidRDefault="00636C2C" w:rsidP="00821ADA">
      <w:pPr>
        <w:ind w:firstLine="720"/>
        <w:jc w:val="both"/>
        <w:rPr>
          <w:sz w:val="22"/>
          <w:szCs w:val="22"/>
        </w:rPr>
      </w:pPr>
      <w:r w:rsidRPr="00821ADA">
        <w:rPr>
          <w:sz w:val="22"/>
          <w:szCs w:val="22"/>
        </w:rPr>
        <w:t>Prediksi potensi senyawa metabolit sekunder biji anggur merah (</w:t>
      </w:r>
      <w:r w:rsidRPr="00821ADA">
        <w:rPr>
          <w:i/>
          <w:sz w:val="22"/>
          <w:szCs w:val="22"/>
        </w:rPr>
        <w:t>Vitis vinifera</w:t>
      </w:r>
      <w:r w:rsidRPr="00821ADA">
        <w:rPr>
          <w:sz w:val="22"/>
          <w:szCs w:val="22"/>
        </w:rPr>
        <w:t xml:space="preserve"> L.) menurut ADME Test berupa </w:t>
      </w:r>
      <w:r w:rsidRPr="00821ADA">
        <w:rPr>
          <w:i/>
          <w:sz w:val="22"/>
          <w:szCs w:val="22"/>
        </w:rPr>
        <w:t>Absorption, Distribution, Metabolism</w:t>
      </w:r>
      <w:r w:rsidRPr="00821ADA">
        <w:rPr>
          <w:sz w:val="22"/>
          <w:szCs w:val="22"/>
        </w:rPr>
        <w:t xml:space="preserve">, dan </w:t>
      </w:r>
      <w:r w:rsidRPr="00821ADA">
        <w:rPr>
          <w:i/>
          <w:sz w:val="22"/>
          <w:szCs w:val="22"/>
        </w:rPr>
        <w:t>Excretion</w:t>
      </w:r>
      <w:r w:rsidRPr="00821ADA">
        <w:rPr>
          <w:sz w:val="22"/>
          <w:szCs w:val="22"/>
        </w:rPr>
        <w:t xml:space="preserve"> dapat diakses melalui </w:t>
      </w:r>
      <w:r w:rsidRPr="00821ADA">
        <w:rPr>
          <w:i/>
          <w:sz w:val="22"/>
          <w:szCs w:val="22"/>
        </w:rPr>
        <w:t>webserver</w:t>
      </w:r>
      <w:r w:rsidRPr="00821ADA">
        <w:rPr>
          <w:sz w:val="22"/>
          <w:szCs w:val="22"/>
        </w:rPr>
        <w:t xml:space="preserve"> pkCSM (http://biosig.unimelb.edu.au/pkcsm/)</w:t>
      </w:r>
      <w:r w:rsidRPr="00821ADA">
        <w:rPr>
          <w:sz w:val="22"/>
          <w:szCs w:val="22"/>
        </w:rPr>
        <w:tab/>
        <w:t>dan admetSAR 2.0 (http://lmmd.ecust.edu.cn/admetsar2) dengan memasukkan smile ID senyawa yang akan dianalisis dan di ambil data Human Intestinal Absorption (HIA), CaCO</w:t>
      </w:r>
      <w:r w:rsidRPr="00821ADA">
        <w:rPr>
          <w:sz w:val="22"/>
          <w:szCs w:val="22"/>
          <w:vertAlign w:val="subscript"/>
        </w:rPr>
        <w:t>2</w:t>
      </w:r>
      <w:r w:rsidRPr="00821ADA">
        <w:rPr>
          <w:sz w:val="22"/>
          <w:szCs w:val="22"/>
        </w:rPr>
        <w:t xml:space="preserve"> Ce</w:t>
      </w:r>
      <w:r w:rsidRPr="00821ADA">
        <w:rPr>
          <w:i/>
          <w:sz w:val="22"/>
          <w:szCs w:val="22"/>
        </w:rPr>
        <w:t>ll Permeability, Blood Brain Barrier</w:t>
      </w:r>
      <w:r w:rsidRPr="00821ADA">
        <w:rPr>
          <w:sz w:val="22"/>
          <w:szCs w:val="22"/>
        </w:rPr>
        <w:t xml:space="preserve"> (BBB) dan </w:t>
      </w:r>
      <w:r w:rsidRPr="00821ADA">
        <w:rPr>
          <w:i/>
          <w:sz w:val="22"/>
          <w:szCs w:val="22"/>
        </w:rPr>
        <w:t>Domain</w:t>
      </w:r>
      <w:r w:rsidRPr="00821ADA">
        <w:rPr>
          <w:sz w:val="22"/>
          <w:szCs w:val="22"/>
        </w:rPr>
        <w:t>.</w:t>
      </w:r>
    </w:p>
    <w:p w:rsidR="00636C2C" w:rsidRPr="00821ADA" w:rsidRDefault="00636C2C" w:rsidP="00821ADA">
      <w:pPr>
        <w:jc w:val="both"/>
        <w:rPr>
          <w:b/>
          <w:bCs/>
          <w:sz w:val="22"/>
          <w:szCs w:val="22"/>
        </w:rPr>
      </w:pPr>
    </w:p>
    <w:p w:rsidR="00636C2C" w:rsidRPr="00821ADA" w:rsidRDefault="00636C2C" w:rsidP="00821ADA">
      <w:pPr>
        <w:jc w:val="both"/>
        <w:rPr>
          <w:b/>
          <w:bCs/>
          <w:sz w:val="22"/>
          <w:szCs w:val="22"/>
        </w:rPr>
      </w:pPr>
      <w:r w:rsidRPr="00821ADA">
        <w:rPr>
          <w:b/>
          <w:bCs/>
          <w:sz w:val="22"/>
          <w:szCs w:val="22"/>
        </w:rPr>
        <w:t>2.2.5</w:t>
      </w:r>
      <w:r w:rsidRPr="00821ADA">
        <w:rPr>
          <w:b/>
          <w:bCs/>
          <w:sz w:val="22"/>
          <w:szCs w:val="22"/>
        </w:rPr>
        <w:tab/>
        <w:t>Analisis Toksisitas Senyawa Metabolit Sekunder Biji Anggur Merah (Vitis vinifera L.)</w:t>
      </w:r>
    </w:p>
    <w:p w:rsidR="00636C2C" w:rsidRPr="00821ADA" w:rsidRDefault="00636C2C" w:rsidP="00821ADA">
      <w:pPr>
        <w:ind w:firstLine="720"/>
        <w:jc w:val="both"/>
        <w:rPr>
          <w:sz w:val="22"/>
          <w:szCs w:val="22"/>
        </w:rPr>
      </w:pPr>
      <w:r w:rsidRPr="00821ADA">
        <w:rPr>
          <w:sz w:val="22"/>
          <w:szCs w:val="22"/>
        </w:rPr>
        <w:t>Senyawa metabolit sekunder biji anggur merah (</w:t>
      </w:r>
      <w:r w:rsidRPr="00821ADA">
        <w:rPr>
          <w:i/>
          <w:sz w:val="22"/>
          <w:szCs w:val="22"/>
        </w:rPr>
        <w:t>Vitis vinifera</w:t>
      </w:r>
      <w:r w:rsidRPr="00821ADA">
        <w:rPr>
          <w:sz w:val="22"/>
          <w:szCs w:val="22"/>
        </w:rPr>
        <w:t xml:space="preserve"> L.) yang sudah dianalisis Lipinski’s Rule (RO5) dan ADME Test kemudian di analisis toksisitasnya</w:t>
      </w:r>
      <w:r w:rsidRPr="00821ADA">
        <w:rPr>
          <w:sz w:val="22"/>
          <w:szCs w:val="22"/>
        </w:rPr>
        <w:tab/>
        <w:t>melalui</w:t>
      </w:r>
      <w:r w:rsidRPr="00821ADA">
        <w:rPr>
          <w:sz w:val="22"/>
          <w:szCs w:val="22"/>
        </w:rPr>
        <w:tab/>
      </w:r>
      <w:r w:rsidRPr="00821ADA">
        <w:rPr>
          <w:i/>
          <w:sz w:val="22"/>
          <w:szCs w:val="22"/>
        </w:rPr>
        <w:t>webserver</w:t>
      </w:r>
      <w:r w:rsidRPr="00821ADA">
        <w:rPr>
          <w:sz w:val="22"/>
          <w:szCs w:val="22"/>
        </w:rPr>
        <w:t xml:space="preserve"> Toxicity Checker (https://mcule.com/apps/toxicitychecker/) dan Protox III (</w:t>
      </w:r>
      <w:hyperlink r:id="rId19" w:history="1">
        <w:r w:rsidRPr="00821ADA">
          <w:rPr>
            <w:rStyle w:val="Hyperlink"/>
            <w:sz w:val="22"/>
            <w:szCs w:val="22"/>
          </w:rPr>
          <w:t>https://tox-new.charite.de/protoxIII/</w:t>
        </w:r>
      </w:hyperlink>
      <w:r w:rsidRPr="00821ADA">
        <w:rPr>
          <w:sz w:val="22"/>
          <w:szCs w:val="22"/>
        </w:rPr>
        <w:t>).</w:t>
      </w:r>
    </w:p>
    <w:p w:rsidR="00636C2C" w:rsidRPr="00821ADA" w:rsidRDefault="00636C2C" w:rsidP="00821ADA">
      <w:pPr>
        <w:jc w:val="both"/>
        <w:rPr>
          <w:sz w:val="22"/>
          <w:szCs w:val="22"/>
        </w:rPr>
      </w:pPr>
    </w:p>
    <w:p w:rsidR="00636C2C" w:rsidRPr="00821ADA" w:rsidRDefault="00636C2C" w:rsidP="00821ADA">
      <w:pPr>
        <w:jc w:val="both"/>
        <w:rPr>
          <w:b/>
          <w:bCs/>
          <w:sz w:val="22"/>
          <w:szCs w:val="22"/>
        </w:rPr>
      </w:pPr>
      <w:r w:rsidRPr="00821ADA">
        <w:rPr>
          <w:b/>
          <w:bCs/>
          <w:sz w:val="22"/>
          <w:szCs w:val="22"/>
        </w:rPr>
        <w:t>2.2.6</w:t>
      </w:r>
      <w:r w:rsidRPr="00821ADA">
        <w:rPr>
          <w:b/>
          <w:bCs/>
          <w:sz w:val="22"/>
          <w:szCs w:val="22"/>
        </w:rPr>
        <w:tab/>
        <w:t>Analisis Efek Samping Senyawa Metabolit Sekunder Biji Anggur Merah (Vitis vinifera L.)</w:t>
      </w:r>
    </w:p>
    <w:p w:rsidR="00636C2C" w:rsidRPr="00821ADA" w:rsidRDefault="00636C2C" w:rsidP="00821ADA">
      <w:pPr>
        <w:ind w:firstLine="720"/>
        <w:jc w:val="both"/>
        <w:rPr>
          <w:sz w:val="22"/>
          <w:szCs w:val="22"/>
        </w:rPr>
      </w:pPr>
      <w:r w:rsidRPr="00821ADA">
        <w:rPr>
          <w:sz w:val="22"/>
          <w:szCs w:val="22"/>
        </w:rPr>
        <w:t xml:space="preserve">Analisis efek samping senyawa dapat dilakukan melalui </w:t>
      </w:r>
      <w:r w:rsidRPr="00821ADA">
        <w:rPr>
          <w:i/>
          <w:sz w:val="22"/>
          <w:szCs w:val="22"/>
        </w:rPr>
        <w:t>webserver</w:t>
      </w:r>
      <w:r w:rsidRPr="00821ADA">
        <w:rPr>
          <w:sz w:val="22"/>
          <w:szCs w:val="22"/>
        </w:rPr>
        <w:t xml:space="preserve"> Way2Drug (http://www.Way2Drug.com/adverpred/) untuk prediksi potensi efek samping senyawa berdasarkan nilai </w:t>
      </w:r>
      <w:r w:rsidRPr="00821ADA">
        <w:rPr>
          <w:i/>
          <w:sz w:val="22"/>
          <w:szCs w:val="22"/>
        </w:rPr>
        <w:t>Potency Activity Test</w:t>
      </w:r>
      <w:r w:rsidRPr="00821ADA">
        <w:rPr>
          <w:sz w:val="22"/>
          <w:szCs w:val="22"/>
        </w:rPr>
        <w:t xml:space="preserve"> dan dibandingkan dengan obat kontrol, kemudian di ambil data PA, PI dan efek samping.</w:t>
      </w:r>
    </w:p>
    <w:p w:rsidR="00636C2C" w:rsidRPr="00821ADA" w:rsidRDefault="00636C2C" w:rsidP="00821ADA">
      <w:pPr>
        <w:ind w:firstLine="720"/>
        <w:jc w:val="both"/>
        <w:rPr>
          <w:sz w:val="22"/>
          <w:szCs w:val="22"/>
        </w:rPr>
      </w:pPr>
    </w:p>
    <w:p w:rsidR="00636C2C" w:rsidRPr="00821ADA" w:rsidRDefault="00636C2C" w:rsidP="00821ADA">
      <w:pPr>
        <w:jc w:val="both"/>
        <w:rPr>
          <w:b/>
          <w:bCs/>
          <w:i/>
          <w:sz w:val="22"/>
          <w:szCs w:val="22"/>
        </w:rPr>
      </w:pPr>
      <w:r w:rsidRPr="00821ADA">
        <w:rPr>
          <w:b/>
          <w:bCs/>
          <w:sz w:val="22"/>
          <w:szCs w:val="22"/>
        </w:rPr>
        <w:t>2.2.7</w:t>
      </w:r>
      <w:r w:rsidRPr="00821ADA">
        <w:rPr>
          <w:b/>
          <w:bCs/>
          <w:sz w:val="22"/>
          <w:szCs w:val="22"/>
        </w:rPr>
        <w:tab/>
      </w:r>
      <w:r w:rsidRPr="00821ADA">
        <w:rPr>
          <w:b/>
          <w:bCs/>
          <w:i/>
          <w:sz w:val="22"/>
          <w:szCs w:val="22"/>
        </w:rPr>
        <w:t>Molecular Docking</w:t>
      </w:r>
    </w:p>
    <w:p w:rsidR="00636C2C" w:rsidRPr="00821ADA" w:rsidRDefault="00636C2C" w:rsidP="00821ADA">
      <w:pPr>
        <w:ind w:firstLine="720"/>
        <w:jc w:val="both"/>
        <w:rPr>
          <w:sz w:val="22"/>
          <w:szCs w:val="22"/>
        </w:rPr>
      </w:pPr>
      <w:r w:rsidRPr="00821ADA">
        <w:rPr>
          <w:i/>
          <w:sz w:val="22"/>
          <w:szCs w:val="22"/>
        </w:rPr>
        <w:t>Molecular docking</w:t>
      </w:r>
      <w:r w:rsidRPr="00821ADA">
        <w:rPr>
          <w:sz w:val="22"/>
          <w:szCs w:val="22"/>
        </w:rPr>
        <w:t xml:space="preserve"> diawali dengan preparasi sampel protein dengan mengunduh sampel protein reseptor dan protein target di Protein Data Bank (PDB) (</w:t>
      </w:r>
      <w:hyperlink r:id="rId20" w:history="1">
        <w:r w:rsidRPr="00821ADA">
          <w:rPr>
            <w:rStyle w:val="Hyperlink"/>
            <w:sz w:val="22"/>
            <w:szCs w:val="22"/>
          </w:rPr>
          <w:t>www.pdb.org</w:t>
        </w:r>
      </w:hyperlink>
      <w:r w:rsidRPr="00821ADA">
        <w:rPr>
          <w:sz w:val="22"/>
          <w:szCs w:val="22"/>
        </w:rPr>
        <w:t>) dengan format PDB File (*.pdb.). Kemudian preparasi ligan dilakukan dengan mengunduh sampel struktur ligan di Pubchem (</w:t>
      </w:r>
      <w:hyperlink r:id="rId21" w:history="1">
        <w:r w:rsidRPr="00821ADA">
          <w:rPr>
            <w:rStyle w:val="Hyperlink"/>
            <w:sz w:val="22"/>
            <w:szCs w:val="22"/>
          </w:rPr>
          <w:t>http://www.pubchem.ncbi.nlm.nih.gov</w:t>
        </w:r>
      </w:hyperlink>
      <w:r w:rsidRPr="00821ADA">
        <w:rPr>
          <w:sz w:val="22"/>
          <w:szCs w:val="22"/>
        </w:rPr>
        <w:t xml:space="preserve">) pada format Sybil Data Files (*.sdf) dan saat preparasi </w:t>
      </w:r>
      <w:r w:rsidRPr="00821ADA">
        <w:rPr>
          <w:i/>
          <w:sz w:val="22"/>
          <w:szCs w:val="22"/>
        </w:rPr>
        <w:t>docking</w:t>
      </w:r>
      <w:r w:rsidRPr="00821ADA">
        <w:rPr>
          <w:sz w:val="22"/>
          <w:szCs w:val="22"/>
        </w:rPr>
        <w:t xml:space="preserve"> format .sdf di-</w:t>
      </w:r>
      <w:r w:rsidRPr="00821ADA">
        <w:rPr>
          <w:i/>
          <w:sz w:val="22"/>
          <w:szCs w:val="22"/>
        </w:rPr>
        <w:t>convert</w:t>
      </w:r>
      <w:r w:rsidRPr="00821ADA">
        <w:rPr>
          <w:sz w:val="22"/>
          <w:szCs w:val="22"/>
        </w:rPr>
        <w:t xml:space="preserve"> menjadi format PDB File (*.pdb) dengan menggunakan </w:t>
      </w:r>
      <w:r w:rsidRPr="00821ADA">
        <w:rPr>
          <w:i/>
          <w:sz w:val="22"/>
          <w:szCs w:val="22"/>
        </w:rPr>
        <w:t>software</w:t>
      </w:r>
      <w:r w:rsidRPr="00821ADA">
        <w:rPr>
          <w:sz w:val="22"/>
          <w:szCs w:val="22"/>
        </w:rPr>
        <w:t xml:space="preserve"> OpenBabel. Kemudian ligan dan protein diolah dengan memberi “</w:t>
      </w:r>
      <w:r w:rsidRPr="00821ADA">
        <w:rPr>
          <w:i/>
          <w:sz w:val="22"/>
          <w:szCs w:val="22"/>
        </w:rPr>
        <w:t>gasteiger charge</w:t>
      </w:r>
      <w:r w:rsidRPr="00821ADA">
        <w:rPr>
          <w:sz w:val="22"/>
          <w:szCs w:val="22"/>
        </w:rPr>
        <w:t xml:space="preserve">” dan “AD4Type” dan diubah menjadi format .pdbqt menggunakan </w:t>
      </w:r>
      <w:r w:rsidRPr="00821ADA">
        <w:rPr>
          <w:i/>
          <w:sz w:val="22"/>
          <w:szCs w:val="22"/>
        </w:rPr>
        <w:t>software</w:t>
      </w:r>
      <w:r w:rsidRPr="00821ADA">
        <w:rPr>
          <w:sz w:val="22"/>
          <w:szCs w:val="22"/>
        </w:rPr>
        <w:t xml:space="preserve"> AutoDock Tools. Setelah itu, uji </w:t>
      </w:r>
      <w:r w:rsidRPr="00821ADA">
        <w:rPr>
          <w:i/>
          <w:sz w:val="22"/>
          <w:szCs w:val="22"/>
        </w:rPr>
        <w:t>docking</w:t>
      </w:r>
      <w:r w:rsidRPr="00821ADA">
        <w:rPr>
          <w:sz w:val="22"/>
          <w:szCs w:val="22"/>
        </w:rPr>
        <w:t xml:space="preserve"> dilaksanakan dengan menempatkan senyawa uji pada binding site protein menggunakan </w:t>
      </w:r>
      <w:r w:rsidRPr="00821ADA">
        <w:rPr>
          <w:i/>
          <w:sz w:val="22"/>
          <w:szCs w:val="22"/>
        </w:rPr>
        <w:t>software</w:t>
      </w:r>
      <w:r w:rsidRPr="00821ADA">
        <w:rPr>
          <w:sz w:val="22"/>
          <w:szCs w:val="22"/>
        </w:rPr>
        <w:t xml:space="preserve"> Autodock 4.2 dan digunakan metode </w:t>
      </w:r>
      <w:r w:rsidRPr="00821ADA">
        <w:rPr>
          <w:i/>
          <w:sz w:val="22"/>
          <w:szCs w:val="22"/>
        </w:rPr>
        <w:t>blind docking</w:t>
      </w:r>
      <w:r w:rsidRPr="00821ADA">
        <w:rPr>
          <w:sz w:val="22"/>
          <w:szCs w:val="22"/>
        </w:rPr>
        <w:t xml:space="preserve">. Hasil </w:t>
      </w:r>
      <w:r w:rsidRPr="00821ADA">
        <w:rPr>
          <w:i/>
          <w:sz w:val="22"/>
          <w:szCs w:val="22"/>
        </w:rPr>
        <w:t>docking</w:t>
      </w:r>
      <w:r w:rsidRPr="00821ADA">
        <w:rPr>
          <w:sz w:val="22"/>
          <w:szCs w:val="22"/>
        </w:rPr>
        <w:t xml:space="preserve"> yang sudah di dapat </w:t>
      </w:r>
      <w:proofErr w:type="gramStart"/>
      <w:r w:rsidRPr="00821ADA">
        <w:rPr>
          <w:sz w:val="22"/>
          <w:szCs w:val="22"/>
        </w:rPr>
        <w:t>akan</w:t>
      </w:r>
      <w:proofErr w:type="gramEnd"/>
      <w:r w:rsidRPr="00821ADA">
        <w:rPr>
          <w:sz w:val="22"/>
          <w:szCs w:val="22"/>
        </w:rPr>
        <w:t xml:space="preserve"> dianalisis dan divisualisasi posisi ikatan antarmolekul senyawa reseptor/protein target dan ligan melalui </w:t>
      </w:r>
      <w:r w:rsidRPr="00821ADA">
        <w:rPr>
          <w:i/>
          <w:sz w:val="22"/>
          <w:szCs w:val="22"/>
        </w:rPr>
        <w:t>software</w:t>
      </w:r>
      <w:r w:rsidRPr="00821ADA">
        <w:rPr>
          <w:sz w:val="22"/>
          <w:szCs w:val="22"/>
        </w:rPr>
        <w:t xml:space="preserve"> BioVia Discovery Studio Visualizer.</w:t>
      </w:r>
    </w:p>
    <w:p w:rsidR="00636C2C" w:rsidRPr="00821ADA" w:rsidRDefault="00636C2C" w:rsidP="00821ADA">
      <w:pPr>
        <w:jc w:val="both"/>
        <w:rPr>
          <w:b/>
          <w:bCs/>
          <w:sz w:val="22"/>
          <w:szCs w:val="22"/>
        </w:rPr>
      </w:pPr>
    </w:p>
    <w:p w:rsidR="00636C2C" w:rsidRPr="00821ADA" w:rsidRDefault="00636C2C" w:rsidP="00821ADA">
      <w:pPr>
        <w:jc w:val="both"/>
        <w:rPr>
          <w:b/>
          <w:bCs/>
          <w:sz w:val="22"/>
          <w:szCs w:val="22"/>
        </w:rPr>
      </w:pPr>
      <w:r w:rsidRPr="00821ADA">
        <w:rPr>
          <w:b/>
          <w:bCs/>
          <w:sz w:val="22"/>
          <w:szCs w:val="22"/>
        </w:rPr>
        <w:t>2.2.8</w:t>
      </w:r>
      <w:r w:rsidRPr="00821ADA">
        <w:rPr>
          <w:b/>
          <w:bCs/>
          <w:sz w:val="22"/>
          <w:szCs w:val="22"/>
        </w:rPr>
        <w:tab/>
        <w:t>HOMO LUMO</w:t>
      </w:r>
    </w:p>
    <w:p w:rsidR="00636C2C" w:rsidRPr="00821ADA" w:rsidRDefault="00636C2C" w:rsidP="00821ADA">
      <w:pPr>
        <w:ind w:firstLine="720"/>
        <w:jc w:val="both"/>
        <w:rPr>
          <w:b/>
          <w:sz w:val="22"/>
          <w:szCs w:val="22"/>
        </w:rPr>
      </w:pPr>
      <w:r w:rsidRPr="00821ADA">
        <w:rPr>
          <w:sz w:val="22"/>
          <w:szCs w:val="22"/>
        </w:rPr>
        <w:t>Analisis HOMO LUMO diawali dengan men-</w:t>
      </w:r>
      <w:r w:rsidRPr="00821ADA">
        <w:rPr>
          <w:i/>
          <w:sz w:val="22"/>
          <w:szCs w:val="22"/>
        </w:rPr>
        <w:t>convert</w:t>
      </w:r>
      <w:r w:rsidRPr="00821ADA">
        <w:rPr>
          <w:sz w:val="22"/>
          <w:szCs w:val="22"/>
        </w:rPr>
        <w:t xml:space="preserve"> format PDB File (*.pdb) menjadi format Gaussian Input File (*.gjf) kemudian dilanjutkan dengan kalkulasi Gaussian yang berfungsi untuk menganalisis optimasi dan frekuensi. Kemudian senyawa metabolit sekunder di optimasi dengan metode </w:t>
      </w:r>
      <w:r w:rsidRPr="00821ADA">
        <w:rPr>
          <w:i/>
          <w:sz w:val="22"/>
          <w:szCs w:val="22"/>
        </w:rPr>
        <w:t>Ground State</w:t>
      </w:r>
      <w:r w:rsidRPr="00821ADA">
        <w:rPr>
          <w:sz w:val="22"/>
          <w:szCs w:val="22"/>
        </w:rPr>
        <w:t xml:space="preserve"> dan DFT (</w:t>
      </w:r>
      <w:r w:rsidRPr="00821ADA">
        <w:rPr>
          <w:i/>
          <w:sz w:val="22"/>
          <w:szCs w:val="22"/>
        </w:rPr>
        <w:t>Density Functional Theory</w:t>
      </w:r>
      <w:r w:rsidRPr="00821ADA">
        <w:rPr>
          <w:sz w:val="22"/>
          <w:szCs w:val="22"/>
        </w:rPr>
        <w:t xml:space="preserve">) melalui </w:t>
      </w:r>
      <w:r w:rsidRPr="00821ADA">
        <w:rPr>
          <w:i/>
          <w:sz w:val="22"/>
          <w:szCs w:val="22"/>
        </w:rPr>
        <w:t>software</w:t>
      </w:r>
      <w:r w:rsidRPr="00821ADA">
        <w:rPr>
          <w:sz w:val="22"/>
          <w:szCs w:val="22"/>
        </w:rPr>
        <w:t xml:space="preserve"> Gaussian. Setelah proses analisis selesai, visualisasi HOMO-LUMO dilakukan dengan meng-klik kanan struktur molekul dan klik “</w:t>
      </w:r>
      <w:r w:rsidRPr="00821ADA">
        <w:rPr>
          <w:i/>
          <w:sz w:val="22"/>
          <w:szCs w:val="22"/>
        </w:rPr>
        <w:t>result</w:t>
      </w:r>
      <w:r w:rsidRPr="00821ADA">
        <w:rPr>
          <w:sz w:val="22"/>
          <w:szCs w:val="22"/>
        </w:rPr>
        <w:t>”, lalu pilih “</w:t>
      </w:r>
      <w:r w:rsidRPr="00821ADA">
        <w:rPr>
          <w:i/>
          <w:sz w:val="22"/>
          <w:szCs w:val="22"/>
        </w:rPr>
        <w:t>summary</w:t>
      </w:r>
      <w:r w:rsidRPr="00821ADA">
        <w:rPr>
          <w:sz w:val="22"/>
          <w:szCs w:val="22"/>
        </w:rPr>
        <w:t>” dan “</w:t>
      </w:r>
      <w:r w:rsidRPr="00821ADA">
        <w:rPr>
          <w:i/>
          <w:sz w:val="22"/>
          <w:szCs w:val="22"/>
        </w:rPr>
        <w:t>surface/contour</w:t>
      </w:r>
      <w:r w:rsidRPr="00821ADA">
        <w:rPr>
          <w:sz w:val="22"/>
          <w:szCs w:val="22"/>
        </w:rPr>
        <w:t>” untuk melihat energi HOMO dan LUMO, nilai gap HOMO- LUMO, dan momen dipol.</w:t>
      </w:r>
    </w:p>
    <w:p w:rsidR="00186319" w:rsidRPr="00821ADA" w:rsidRDefault="00186319" w:rsidP="00821ADA">
      <w:pPr>
        <w:ind w:firstLine="720"/>
        <w:jc w:val="both"/>
        <w:rPr>
          <w:sz w:val="22"/>
          <w:szCs w:val="22"/>
        </w:rPr>
      </w:pPr>
    </w:p>
    <w:p w:rsidR="003C1B3C" w:rsidRPr="00821ADA" w:rsidRDefault="003C1B3C" w:rsidP="00821ADA">
      <w:pPr>
        <w:jc w:val="center"/>
        <w:rPr>
          <w:b/>
          <w:sz w:val="22"/>
          <w:szCs w:val="22"/>
        </w:rPr>
      </w:pPr>
      <w:r w:rsidRPr="00821ADA">
        <w:rPr>
          <w:b/>
          <w:sz w:val="22"/>
          <w:szCs w:val="22"/>
          <w:lang w:val="id-ID"/>
        </w:rPr>
        <w:t xml:space="preserve">3. </w:t>
      </w:r>
      <w:r w:rsidRPr="00821ADA">
        <w:rPr>
          <w:b/>
          <w:sz w:val="22"/>
          <w:szCs w:val="22"/>
        </w:rPr>
        <w:t>HASIL DAN PEMBAHASAN</w:t>
      </w:r>
    </w:p>
    <w:p w:rsidR="00D34731" w:rsidRPr="00821ADA" w:rsidRDefault="00D34731" w:rsidP="00821ADA">
      <w:pPr>
        <w:jc w:val="center"/>
        <w:rPr>
          <w:b/>
          <w:sz w:val="22"/>
          <w:szCs w:val="22"/>
        </w:rPr>
      </w:pPr>
    </w:p>
    <w:p w:rsidR="00636C2C" w:rsidRPr="00821ADA" w:rsidRDefault="00B41E28" w:rsidP="00821ADA">
      <w:pPr>
        <w:jc w:val="both"/>
        <w:rPr>
          <w:b/>
          <w:bCs/>
          <w:sz w:val="22"/>
          <w:szCs w:val="22"/>
        </w:rPr>
      </w:pPr>
      <w:r w:rsidRPr="00821ADA">
        <w:rPr>
          <w:b/>
          <w:bCs/>
          <w:sz w:val="22"/>
          <w:szCs w:val="22"/>
        </w:rPr>
        <w:t xml:space="preserve">3.1 </w:t>
      </w:r>
      <w:r w:rsidR="00636C2C" w:rsidRPr="00821ADA">
        <w:rPr>
          <w:b/>
          <w:bCs/>
          <w:sz w:val="22"/>
          <w:szCs w:val="22"/>
        </w:rPr>
        <w:t>Hasil Identifikasi Senyawa Metabolit Sekunder Biji Anggur Merah (</w:t>
      </w:r>
      <w:r w:rsidR="00636C2C" w:rsidRPr="00821ADA">
        <w:rPr>
          <w:b/>
          <w:bCs/>
          <w:i/>
          <w:sz w:val="22"/>
          <w:szCs w:val="22"/>
        </w:rPr>
        <w:t>Vitis vinifera</w:t>
      </w:r>
      <w:r w:rsidR="00636C2C" w:rsidRPr="00821ADA">
        <w:rPr>
          <w:b/>
          <w:bCs/>
          <w:sz w:val="22"/>
          <w:szCs w:val="22"/>
        </w:rPr>
        <w:t xml:space="preserve"> L.)</w:t>
      </w:r>
    </w:p>
    <w:p w:rsidR="0051620C" w:rsidRDefault="00636C2C" w:rsidP="00821ADA">
      <w:pPr>
        <w:ind w:firstLine="720"/>
        <w:jc w:val="both"/>
        <w:rPr>
          <w:i/>
          <w:sz w:val="22"/>
          <w:szCs w:val="22"/>
        </w:rPr>
        <w:sectPr w:rsidR="0051620C" w:rsidSect="0051620C">
          <w:footerReference w:type="first" r:id="rId22"/>
          <w:pgSz w:w="11907" w:h="16840" w:code="9"/>
          <w:pgMar w:top="1138" w:right="850" w:bottom="1138" w:left="850" w:header="1138" w:footer="1138" w:gutter="0"/>
          <w:pgNumType w:start="1"/>
          <w:cols w:num="2" w:space="720"/>
          <w:titlePg/>
          <w:docGrid w:linePitch="360"/>
        </w:sectPr>
      </w:pPr>
      <w:r w:rsidRPr="00821ADA">
        <w:rPr>
          <w:sz w:val="22"/>
          <w:szCs w:val="22"/>
        </w:rPr>
        <w:t>Senyawa metabolit sekunder pada biji anggur merah (</w:t>
      </w:r>
      <w:r w:rsidRPr="00821ADA">
        <w:rPr>
          <w:i/>
          <w:sz w:val="22"/>
          <w:szCs w:val="22"/>
        </w:rPr>
        <w:t>Vitis vinifera</w:t>
      </w:r>
      <w:r w:rsidRPr="00821ADA">
        <w:rPr>
          <w:sz w:val="22"/>
          <w:szCs w:val="22"/>
        </w:rPr>
        <w:t xml:space="preserve"> L.) yang didapat melalui </w:t>
      </w:r>
      <w:r w:rsidRPr="00821ADA">
        <w:rPr>
          <w:i/>
          <w:sz w:val="22"/>
          <w:szCs w:val="22"/>
        </w:rPr>
        <w:t>screening</w:t>
      </w:r>
      <w:r w:rsidRPr="00821ADA">
        <w:rPr>
          <w:sz w:val="22"/>
          <w:szCs w:val="22"/>
        </w:rPr>
        <w:t xml:space="preserve"> berjumlah 39 senyawa yaitu: </w:t>
      </w:r>
      <w:r w:rsidRPr="00821ADA">
        <w:rPr>
          <w:i/>
          <w:sz w:val="22"/>
          <w:szCs w:val="22"/>
        </w:rPr>
        <w:t>3-O- Caffeoylquinic acid, Anthocyanidins, Caffeic acid, Caffeoylshikimic acid, Caffeoyltartaric acid, Catechin, 3-O-gallate, Cinnamic acid, Coutaric acid, Ellagic acid, Ellagic acid hexoside, Eriodictyol, Fertaric acid, Ferulic acid, Flavan 3-ols, Gallic acid, Gallic acid ethyl ester, Gallic acid hexoside, Gallocatechin, Hydroxybenzoic acid, Kaempferol, 3-</w:t>
      </w:r>
    </w:p>
    <w:p w:rsidR="00636C2C" w:rsidRPr="00821ADA" w:rsidRDefault="00636C2C" w:rsidP="0051620C">
      <w:pPr>
        <w:jc w:val="both"/>
        <w:rPr>
          <w:sz w:val="22"/>
          <w:szCs w:val="22"/>
        </w:rPr>
      </w:pPr>
      <w:r w:rsidRPr="00821ADA">
        <w:rPr>
          <w:i/>
          <w:sz w:val="22"/>
          <w:szCs w:val="22"/>
        </w:rPr>
        <w:lastRenderedPageBreak/>
        <w:t>O-rutinoside, Kaempferol 7-O-glucoside, Ligustroside, Linoleic acid, Luteolin, Myricetin, Naringenin, p- Coumaric acid, Phloridzin, Procyanidin, Protocatechuic acid, Quercetin, Quercetin 3-O-galactoside, Quercitrin, Resveratrol, Resveratrol 3-O- glucoside, Resveratrol dimer, Sinapinic acid, Stilbenes dan Vanillic acid</w:t>
      </w:r>
      <w:r w:rsidRPr="00821ADA">
        <w:rPr>
          <w:sz w:val="22"/>
          <w:szCs w:val="22"/>
        </w:rPr>
        <w:t xml:space="preserve"> (Lampiran 1). </w:t>
      </w:r>
      <w:r w:rsidRPr="00821ADA">
        <w:rPr>
          <w:i/>
          <w:sz w:val="22"/>
          <w:szCs w:val="22"/>
        </w:rPr>
        <w:t>Doxorubicin</w:t>
      </w:r>
      <w:r w:rsidRPr="00821ADA">
        <w:rPr>
          <w:sz w:val="22"/>
          <w:szCs w:val="22"/>
        </w:rPr>
        <w:t xml:space="preserve"> juga dianalisis sebagai kontrol pada penelitian ini karena obat tersebut merupakan obat kemoterapi paling efisien yang dipakai pada pasien penderita kanker payudara (Kelly, 2012) dan kemudian dideskripsikan smileID, rumus kimia serta PMID untuk uji klinis potensi senyawa antikanker selanjutnya (Lampiran 1). </w:t>
      </w:r>
    </w:p>
    <w:p w:rsidR="00636C2C" w:rsidRPr="00821ADA" w:rsidRDefault="00636C2C" w:rsidP="00821ADA">
      <w:pPr>
        <w:ind w:firstLine="720"/>
        <w:jc w:val="both"/>
        <w:rPr>
          <w:sz w:val="22"/>
          <w:szCs w:val="22"/>
        </w:rPr>
      </w:pPr>
    </w:p>
    <w:p w:rsidR="00636C2C" w:rsidRPr="00821ADA" w:rsidRDefault="00B41E28" w:rsidP="00821ADA">
      <w:pPr>
        <w:jc w:val="both"/>
        <w:rPr>
          <w:b/>
          <w:bCs/>
          <w:sz w:val="22"/>
          <w:szCs w:val="22"/>
        </w:rPr>
      </w:pPr>
      <w:r w:rsidRPr="00821ADA">
        <w:rPr>
          <w:b/>
          <w:bCs/>
          <w:sz w:val="22"/>
          <w:szCs w:val="22"/>
        </w:rPr>
        <w:t xml:space="preserve">3.2 </w:t>
      </w:r>
      <w:r w:rsidR="00636C2C" w:rsidRPr="00821ADA">
        <w:rPr>
          <w:b/>
          <w:bCs/>
          <w:sz w:val="22"/>
          <w:szCs w:val="22"/>
        </w:rPr>
        <w:t>Hasil Analisis Potensi Senyawa Metabolit Sekunder Biji Anggur Merah (Vitis vinifera L.) Menurut Lipinski’s rule</w:t>
      </w:r>
    </w:p>
    <w:p w:rsidR="00636C2C" w:rsidRPr="00821ADA" w:rsidRDefault="00636C2C" w:rsidP="00821ADA">
      <w:pPr>
        <w:ind w:firstLine="720"/>
        <w:jc w:val="both"/>
        <w:rPr>
          <w:sz w:val="22"/>
          <w:szCs w:val="22"/>
        </w:rPr>
      </w:pPr>
      <w:r w:rsidRPr="00821ADA">
        <w:rPr>
          <w:sz w:val="22"/>
          <w:szCs w:val="22"/>
        </w:rPr>
        <w:t>Analisis 39 senyawa metabolit sekunder biji anggur merah (</w:t>
      </w:r>
      <w:r w:rsidRPr="00821ADA">
        <w:rPr>
          <w:i/>
          <w:sz w:val="22"/>
          <w:szCs w:val="22"/>
        </w:rPr>
        <w:t>Vitis vinifera</w:t>
      </w:r>
      <w:r w:rsidRPr="00821ADA">
        <w:rPr>
          <w:sz w:val="22"/>
          <w:szCs w:val="22"/>
        </w:rPr>
        <w:t xml:space="preserve"> L.) sebagai senyawa antikanker menggunakan aturan Lipinski’s </w:t>
      </w:r>
      <w:r w:rsidR="00B41E28" w:rsidRPr="00821ADA">
        <w:rPr>
          <w:sz w:val="22"/>
          <w:szCs w:val="22"/>
        </w:rPr>
        <w:t>R</w:t>
      </w:r>
      <w:r w:rsidRPr="00821ADA">
        <w:rPr>
          <w:sz w:val="22"/>
          <w:szCs w:val="22"/>
        </w:rPr>
        <w:t xml:space="preserve">ule of Five (RO5) dilakukan sebagai langkah pertama untuk melakukan seleksi dan mengeliminasi senyawa yang memiliki sifat fisikokimia yang buruk (Bhal et al., 2007). Terdapat beberapa kriteria yang menunjukkan potensi suatu senyawa sebagai senyawa antikanker yang baik berdasarkan aturan RO5 yaitu: massa molekul ≤500, </w:t>
      </w:r>
      <w:r w:rsidRPr="00821ADA">
        <w:rPr>
          <w:i/>
          <w:sz w:val="22"/>
          <w:szCs w:val="22"/>
        </w:rPr>
        <w:t>hydrogen bond acceptor</w:t>
      </w:r>
      <w:r w:rsidRPr="00821ADA">
        <w:rPr>
          <w:sz w:val="22"/>
          <w:szCs w:val="22"/>
        </w:rPr>
        <w:t xml:space="preserve"> (HBA) ≤10, </w:t>
      </w:r>
      <w:r w:rsidRPr="00821ADA">
        <w:rPr>
          <w:i/>
          <w:sz w:val="22"/>
          <w:szCs w:val="22"/>
        </w:rPr>
        <w:t>hydrogen</w:t>
      </w:r>
      <w:r w:rsidRPr="00821ADA">
        <w:rPr>
          <w:sz w:val="22"/>
          <w:szCs w:val="22"/>
        </w:rPr>
        <w:t xml:space="preserve"> </w:t>
      </w:r>
      <w:r w:rsidRPr="00821ADA">
        <w:rPr>
          <w:i/>
          <w:sz w:val="22"/>
          <w:szCs w:val="22"/>
        </w:rPr>
        <w:t>bond</w:t>
      </w:r>
      <w:r w:rsidRPr="00821ADA">
        <w:rPr>
          <w:sz w:val="22"/>
          <w:szCs w:val="22"/>
        </w:rPr>
        <w:t xml:space="preserve"> </w:t>
      </w:r>
      <w:r w:rsidRPr="00821ADA">
        <w:rPr>
          <w:i/>
          <w:sz w:val="22"/>
          <w:szCs w:val="22"/>
        </w:rPr>
        <w:t>donor</w:t>
      </w:r>
      <w:r w:rsidRPr="00821ADA">
        <w:rPr>
          <w:sz w:val="22"/>
          <w:szCs w:val="22"/>
        </w:rPr>
        <w:t xml:space="preserve"> (HBD) ≤5, dan lipofilisitas (logP) ≤5 (Lipinski et al., 2001). Untuk menentukan senyawa yang berpotensi sebagai obat dapat juga dilihat dari nilai </w:t>
      </w:r>
      <w:r w:rsidRPr="00821ADA">
        <w:rPr>
          <w:i/>
          <w:sz w:val="22"/>
          <w:szCs w:val="22"/>
        </w:rPr>
        <w:t>Molar Refractivity</w:t>
      </w:r>
      <w:r w:rsidRPr="00821ADA">
        <w:rPr>
          <w:sz w:val="22"/>
          <w:szCs w:val="22"/>
        </w:rPr>
        <w:t xml:space="preserve"> (MR) antara 40-130 (Ghose et al., 1999).</w:t>
      </w:r>
    </w:p>
    <w:p w:rsidR="00636C2C" w:rsidRPr="00821ADA" w:rsidRDefault="00636C2C" w:rsidP="00821ADA">
      <w:pPr>
        <w:ind w:firstLine="720"/>
        <w:jc w:val="both"/>
        <w:rPr>
          <w:sz w:val="22"/>
          <w:szCs w:val="22"/>
        </w:rPr>
      </w:pPr>
      <w:r w:rsidRPr="00821ADA">
        <w:rPr>
          <w:sz w:val="22"/>
          <w:szCs w:val="22"/>
        </w:rPr>
        <w:t>Hasil analisis menunjukkan bahwa 13 senyawa metabolit sekunder biji anggur merah (</w:t>
      </w:r>
      <w:r w:rsidRPr="00821ADA">
        <w:rPr>
          <w:i/>
          <w:sz w:val="22"/>
          <w:szCs w:val="22"/>
        </w:rPr>
        <w:t xml:space="preserve">Vitis vinifera </w:t>
      </w:r>
      <w:r w:rsidRPr="00821ADA">
        <w:rPr>
          <w:sz w:val="22"/>
          <w:szCs w:val="22"/>
        </w:rPr>
        <w:t>L.) yaitu: C</w:t>
      </w:r>
      <w:r w:rsidRPr="00821ADA">
        <w:rPr>
          <w:i/>
          <w:sz w:val="22"/>
          <w:szCs w:val="22"/>
        </w:rPr>
        <w:t xml:space="preserve">affeic acid, Cinnamic acid, Ellagic acid, Eriodictyol, Ferulic acid, Flavan 3-ols, Luteolin, Naringenin, p-Coumaric acid, Quercetin, Resveratrol, Sinapinic acid, </w:t>
      </w:r>
      <w:r w:rsidRPr="00821ADA">
        <w:rPr>
          <w:sz w:val="22"/>
          <w:szCs w:val="22"/>
        </w:rPr>
        <w:t xml:space="preserve">dan </w:t>
      </w:r>
      <w:r w:rsidRPr="00821ADA">
        <w:rPr>
          <w:i/>
          <w:sz w:val="22"/>
          <w:szCs w:val="22"/>
        </w:rPr>
        <w:t>Vanillic acid</w:t>
      </w:r>
      <w:r w:rsidRPr="00821ADA">
        <w:rPr>
          <w:sz w:val="22"/>
          <w:szCs w:val="22"/>
        </w:rPr>
        <w:t xml:space="preserve"> merupakan senyawa yang berpotensi sebagai senyawa antikanker karena memenuhi semua kriteria senyawa antikanker yang baik berdasarkan aturan RO5 (Lampiran 2). Senyawa yang memenuhi karakteristik berdasarkan aturan RO5 dipercaya oleh banyak peneliti memiliki tingkat permeabilitas dan kelarutan yang baik (Benet et al., 2016). Apabila senyawa memiliki </w:t>
      </w:r>
      <w:proofErr w:type="gramStart"/>
      <w:r w:rsidRPr="00821ADA">
        <w:rPr>
          <w:sz w:val="22"/>
          <w:szCs w:val="22"/>
        </w:rPr>
        <w:t>massa</w:t>
      </w:r>
      <w:proofErr w:type="gramEnd"/>
      <w:r w:rsidRPr="00821ADA">
        <w:rPr>
          <w:sz w:val="22"/>
          <w:szCs w:val="22"/>
        </w:rPr>
        <w:t xml:space="preserve"> molekul yang berukuran besar (&gt;500Da) akan sulit diserap oleh sel target, karena molekul senyawa akan gagal menembus membran sel (Navia &amp; Chaturvedi 1996).</w:t>
      </w:r>
    </w:p>
    <w:p w:rsidR="00636C2C" w:rsidRPr="00821ADA" w:rsidRDefault="00636C2C" w:rsidP="00821ADA">
      <w:pPr>
        <w:ind w:firstLine="720"/>
        <w:jc w:val="both"/>
        <w:rPr>
          <w:sz w:val="22"/>
          <w:szCs w:val="22"/>
        </w:rPr>
      </w:pPr>
      <w:r w:rsidRPr="00821ADA">
        <w:rPr>
          <w:sz w:val="22"/>
          <w:szCs w:val="22"/>
        </w:rPr>
        <w:t xml:space="preserve">Senyawa yang berpotensi sebagai senyawa antikanker yang baik juga tidak boleh memiliki nilai HBA &gt;10 dan HBD &gt;5. Senyawa yang memiliki nilai HBA &gt;10 dan HBD &gt;5 </w:t>
      </w:r>
      <w:proofErr w:type="gramStart"/>
      <w:r w:rsidRPr="00821ADA">
        <w:rPr>
          <w:sz w:val="22"/>
          <w:szCs w:val="22"/>
        </w:rPr>
        <w:t>akan</w:t>
      </w:r>
      <w:proofErr w:type="gramEnd"/>
      <w:r w:rsidRPr="00821ADA">
        <w:rPr>
          <w:sz w:val="22"/>
          <w:szCs w:val="22"/>
        </w:rPr>
        <w:t xml:space="preserve"> menyebabkan partisi dan </w:t>
      </w:r>
      <w:r w:rsidRPr="00821ADA">
        <w:rPr>
          <w:sz w:val="22"/>
          <w:szCs w:val="22"/>
        </w:rPr>
        <w:t xml:space="preserve">permeabilitas antara membran sel dan obat lebih buruk (Alex et al., 2011). Nilai HBA dan HBD yang bernilai 0 juga tidak memenuhi ketentuan karena nilai tersebut menunjukkan senyawa mempunyai kemampuan terbatas untuk berinteraksi dengan biomolekul lainnya, sehingga berpengaruh dalam affinitas senyawa terhadap kemampuan selektivitas pengikatan (Coimbra et al., 2021). Selanjutnya, nilai MR </w:t>
      </w:r>
      <w:proofErr w:type="gramStart"/>
      <w:r w:rsidRPr="00821ADA">
        <w:rPr>
          <w:sz w:val="22"/>
          <w:szCs w:val="22"/>
        </w:rPr>
        <w:t>suatu</w:t>
      </w:r>
      <w:proofErr w:type="gramEnd"/>
      <w:r w:rsidRPr="00821ADA">
        <w:rPr>
          <w:sz w:val="22"/>
          <w:szCs w:val="22"/>
        </w:rPr>
        <w:t xml:space="preserve"> senyawa harus memiliki interval nilai antara 40- 130, nilai tersebut nantinya akan digunakan untuk menunjukkan adanya proses polarisasi dalam interaksi antar atom yang baik yang berlangsung dalam larutan (media berair) (Pacak &amp; Kodejs, 1988; Lipinski et al., 2001; Sawale et al., 2016). Senyawa yang memiliki nilai lipofisitas (logP) &gt;5 memiliki sifat yang terlalu hidrofobik sehingga senyawa tidak terlarut dan </w:t>
      </w:r>
      <w:proofErr w:type="gramStart"/>
      <w:r w:rsidRPr="00821ADA">
        <w:rPr>
          <w:sz w:val="22"/>
          <w:szCs w:val="22"/>
        </w:rPr>
        <w:t>akan</w:t>
      </w:r>
      <w:proofErr w:type="gramEnd"/>
      <w:r w:rsidRPr="00821ADA">
        <w:rPr>
          <w:sz w:val="22"/>
          <w:szCs w:val="22"/>
        </w:rPr>
        <w:t xml:space="preserve"> berada pada lapisan lipid bilayer. Senyawa ini dapat berpotensi menyebar ke seluruh tubuh dan bersifat toksik. Di sisi lain, senyawa yang terlalu hidrofilik cenderung mudah larut sehingga memiliki kemampuan yang terbatas untuk menembus membran sel target (Yang et al., 2021) sehingga ketentuan obat secara umum yang digunakan memiliki interval nilai ≥1 atau ≤4 (Doak et al., 2014).</w:t>
      </w:r>
    </w:p>
    <w:p w:rsidR="00636C2C" w:rsidRPr="00821ADA" w:rsidRDefault="00636C2C" w:rsidP="00821ADA">
      <w:pPr>
        <w:ind w:firstLine="720"/>
        <w:jc w:val="both"/>
        <w:rPr>
          <w:sz w:val="22"/>
          <w:szCs w:val="22"/>
        </w:rPr>
      </w:pPr>
    </w:p>
    <w:p w:rsidR="00636C2C" w:rsidRPr="00821ADA" w:rsidRDefault="00B41E28" w:rsidP="00821ADA">
      <w:pPr>
        <w:jc w:val="both"/>
        <w:rPr>
          <w:b/>
          <w:bCs/>
          <w:sz w:val="22"/>
          <w:szCs w:val="22"/>
        </w:rPr>
      </w:pPr>
      <w:r w:rsidRPr="00821ADA">
        <w:rPr>
          <w:b/>
          <w:bCs/>
          <w:sz w:val="22"/>
          <w:szCs w:val="22"/>
        </w:rPr>
        <w:t xml:space="preserve">3.3 </w:t>
      </w:r>
      <w:r w:rsidR="00636C2C" w:rsidRPr="00821ADA">
        <w:rPr>
          <w:b/>
          <w:bCs/>
          <w:sz w:val="22"/>
          <w:szCs w:val="22"/>
        </w:rPr>
        <w:t>Hasil Analisis Potensi Senyawa Metabolit Sekunder Biji Anggur Merah (Vitis vinifera L.) Menurut ADMET Test</w:t>
      </w:r>
    </w:p>
    <w:p w:rsidR="00636C2C" w:rsidRPr="00821ADA" w:rsidRDefault="00636C2C" w:rsidP="00821ADA">
      <w:pPr>
        <w:ind w:firstLine="720"/>
        <w:jc w:val="both"/>
        <w:rPr>
          <w:sz w:val="22"/>
          <w:szCs w:val="22"/>
        </w:rPr>
      </w:pPr>
      <w:r w:rsidRPr="00821ADA">
        <w:rPr>
          <w:sz w:val="22"/>
          <w:szCs w:val="22"/>
        </w:rPr>
        <w:t xml:space="preserve">Senyawa </w:t>
      </w:r>
      <w:r w:rsidRPr="00821ADA">
        <w:rPr>
          <w:i/>
          <w:sz w:val="22"/>
          <w:szCs w:val="22"/>
        </w:rPr>
        <w:t>Caffeic acid, Cinnamic acid, Ellagic acid, Eriodictyol, Ferulic acid, Flavan 3-ols, Luteolin, Naringenin, p-Coumaric acid, Quercetin, Resveratrol, Sinapinic acid,</w:t>
      </w:r>
      <w:r w:rsidRPr="00821ADA">
        <w:rPr>
          <w:sz w:val="22"/>
          <w:szCs w:val="22"/>
        </w:rPr>
        <w:t xml:space="preserve"> dan </w:t>
      </w:r>
      <w:r w:rsidRPr="00821ADA">
        <w:rPr>
          <w:i/>
          <w:sz w:val="22"/>
          <w:szCs w:val="22"/>
        </w:rPr>
        <w:t>Vanillic acid</w:t>
      </w:r>
      <w:r w:rsidRPr="00821ADA">
        <w:rPr>
          <w:sz w:val="22"/>
          <w:szCs w:val="22"/>
        </w:rPr>
        <w:t xml:space="preserve"> yang lolos kriteria aturan RO5 kemudian dianalisis menggunakan uji ADME (</w:t>
      </w:r>
      <w:r w:rsidRPr="00821ADA">
        <w:rPr>
          <w:i/>
          <w:sz w:val="22"/>
          <w:szCs w:val="22"/>
        </w:rPr>
        <w:t>Absorption, Distribution, Metabolism, dan Excretion</w:t>
      </w:r>
      <w:r w:rsidRPr="00821ADA">
        <w:rPr>
          <w:sz w:val="22"/>
          <w:szCs w:val="22"/>
        </w:rPr>
        <w:t xml:space="preserve">). Uji tersebut dilakukan untuk menentukan potensi senyawa sebagai senyawa obat yang baik (Tsaioun &amp; Kates, 2011) dengan kriteria HIA (Human Intestinal Absorption) diatas 30% (Wessel et al., 1988), CaCO2 </w:t>
      </w:r>
      <w:r w:rsidRPr="00821ADA">
        <w:rPr>
          <w:i/>
          <w:sz w:val="22"/>
          <w:szCs w:val="22"/>
        </w:rPr>
        <w:t>Cell Permeability</w:t>
      </w:r>
      <w:r w:rsidRPr="00821ADA">
        <w:rPr>
          <w:sz w:val="22"/>
          <w:szCs w:val="22"/>
        </w:rPr>
        <w:t xml:space="preserve"> ≥0,90 (Van Breemen &amp; Li,2005), BBB (Blood Brain Barrier) ≥-1 (Narayanan &amp; Gunturi, 2005), Domain IN (Yang et al., 2017).</w:t>
      </w:r>
    </w:p>
    <w:p w:rsidR="0051620C" w:rsidRDefault="00636C2C" w:rsidP="00821ADA">
      <w:pPr>
        <w:jc w:val="both"/>
        <w:rPr>
          <w:sz w:val="22"/>
          <w:szCs w:val="22"/>
        </w:rPr>
        <w:sectPr w:rsidR="0051620C" w:rsidSect="0051620C">
          <w:footerReference w:type="first" r:id="rId23"/>
          <w:pgSz w:w="11907" w:h="16840" w:code="9"/>
          <w:pgMar w:top="1138" w:right="850" w:bottom="1138" w:left="850" w:header="1138" w:footer="1138" w:gutter="0"/>
          <w:pgNumType w:start="1"/>
          <w:cols w:num="2" w:space="720"/>
          <w:titlePg/>
          <w:docGrid w:linePitch="360"/>
        </w:sectPr>
      </w:pPr>
      <w:r w:rsidRPr="00821ADA">
        <w:rPr>
          <w:sz w:val="22"/>
          <w:szCs w:val="22"/>
        </w:rPr>
        <w:t>Hasil analisis menunjukkan bahwa 5 senyawa metabolit sekunder biji anggur</w:t>
      </w:r>
      <w:r w:rsidR="00B41E28" w:rsidRPr="00821ADA">
        <w:rPr>
          <w:sz w:val="22"/>
          <w:szCs w:val="22"/>
        </w:rPr>
        <w:t xml:space="preserve"> </w:t>
      </w:r>
      <w:r w:rsidRPr="00821ADA">
        <w:rPr>
          <w:sz w:val="22"/>
          <w:szCs w:val="22"/>
        </w:rPr>
        <w:t>merah (</w:t>
      </w:r>
      <w:r w:rsidRPr="00821ADA">
        <w:rPr>
          <w:i/>
          <w:sz w:val="22"/>
          <w:szCs w:val="22"/>
        </w:rPr>
        <w:t>Vitis vinifera</w:t>
      </w:r>
      <w:r w:rsidRPr="00821ADA">
        <w:rPr>
          <w:sz w:val="22"/>
          <w:szCs w:val="22"/>
        </w:rPr>
        <w:t xml:space="preserve"> L.) yaitu: </w:t>
      </w:r>
      <w:r w:rsidRPr="00821ADA">
        <w:rPr>
          <w:i/>
          <w:sz w:val="22"/>
          <w:szCs w:val="22"/>
        </w:rPr>
        <w:t>Cinnamic acid, Flavan 3-ols, Naringenin, p-Coumaric acid,</w:t>
      </w:r>
      <w:r w:rsidRPr="00821ADA">
        <w:rPr>
          <w:sz w:val="22"/>
          <w:szCs w:val="22"/>
        </w:rPr>
        <w:t xml:space="preserve"> dan </w:t>
      </w:r>
      <w:r w:rsidRPr="00821ADA">
        <w:rPr>
          <w:i/>
          <w:sz w:val="22"/>
          <w:szCs w:val="22"/>
        </w:rPr>
        <w:t>Resveratrol</w:t>
      </w:r>
      <w:r w:rsidRPr="00821ADA">
        <w:rPr>
          <w:sz w:val="22"/>
          <w:szCs w:val="22"/>
        </w:rPr>
        <w:t xml:space="preserve"> merupakan senyawa yang berpotensi sebagai senyawa antikanker karena memenuhi semua kriteria senyawa antikanker yang baik berdasarkan ADME </w:t>
      </w:r>
      <w:r w:rsidRPr="00821ADA">
        <w:rPr>
          <w:i/>
          <w:sz w:val="22"/>
          <w:szCs w:val="22"/>
        </w:rPr>
        <w:t>Test</w:t>
      </w:r>
      <w:r w:rsidRPr="00821ADA">
        <w:rPr>
          <w:sz w:val="22"/>
          <w:szCs w:val="22"/>
        </w:rPr>
        <w:t xml:space="preserve"> (Tabel 1). Apabila nilai </w:t>
      </w:r>
      <w:r w:rsidRPr="00821ADA">
        <w:rPr>
          <w:i/>
          <w:sz w:val="22"/>
          <w:szCs w:val="22"/>
        </w:rPr>
        <w:t>Human Intestinal Absorption</w:t>
      </w:r>
      <w:r w:rsidRPr="00821ADA">
        <w:rPr>
          <w:sz w:val="22"/>
          <w:szCs w:val="22"/>
        </w:rPr>
        <w:t xml:space="preserve"> (HIA) di bawah 30% maka diprediksi senyawa mempunyai tingkat absorbansi yang tidak</w:t>
      </w:r>
      <w:r w:rsidR="00B41E28" w:rsidRPr="00821ADA">
        <w:rPr>
          <w:sz w:val="22"/>
          <w:szCs w:val="22"/>
        </w:rPr>
        <w:t xml:space="preserve"> </w:t>
      </w:r>
      <w:r w:rsidRPr="00821ADA">
        <w:rPr>
          <w:sz w:val="22"/>
          <w:szCs w:val="22"/>
        </w:rPr>
        <w:t xml:space="preserve">baik sehingga tidak dapat diserap usus dengan baik (Pires et al., 2015). </w:t>
      </w:r>
    </w:p>
    <w:p w:rsidR="003C1B3C" w:rsidRPr="00821ADA" w:rsidRDefault="00636C2C" w:rsidP="00821ADA">
      <w:pPr>
        <w:jc w:val="both"/>
        <w:rPr>
          <w:sz w:val="22"/>
          <w:szCs w:val="22"/>
        </w:rPr>
      </w:pPr>
      <w:r w:rsidRPr="00821ADA">
        <w:rPr>
          <w:sz w:val="22"/>
          <w:szCs w:val="22"/>
        </w:rPr>
        <w:lastRenderedPageBreak/>
        <w:t xml:space="preserve">Selanjutnya, jika nilai CaCO2 </w:t>
      </w:r>
      <w:r w:rsidRPr="00821ADA">
        <w:rPr>
          <w:i/>
          <w:sz w:val="22"/>
          <w:szCs w:val="22"/>
        </w:rPr>
        <w:t>Cell Permeability</w:t>
      </w:r>
      <w:r w:rsidRPr="00821ADA">
        <w:rPr>
          <w:sz w:val="22"/>
          <w:szCs w:val="22"/>
        </w:rPr>
        <w:t xml:space="preserve"> &lt;0</w:t>
      </w:r>
      <w:proofErr w:type="gramStart"/>
      <w:r w:rsidRPr="00821ADA">
        <w:rPr>
          <w:sz w:val="22"/>
          <w:szCs w:val="22"/>
        </w:rPr>
        <w:t>,90</w:t>
      </w:r>
      <w:proofErr w:type="gramEnd"/>
      <w:r w:rsidRPr="00821ADA">
        <w:rPr>
          <w:sz w:val="22"/>
          <w:szCs w:val="22"/>
        </w:rPr>
        <w:t xml:space="preserve"> maka proses penyerapan obat secara oral, sistem transport, proses difusi, dan metabolisme obat pada tubuh diprediksi memiliki hasil yang buruk (Schmiedlin-Ren et al., 1997). Nilai </w:t>
      </w:r>
      <w:r w:rsidRPr="00821ADA">
        <w:rPr>
          <w:i/>
          <w:sz w:val="22"/>
          <w:szCs w:val="22"/>
        </w:rPr>
        <w:t xml:space="preserve">Blood Brain Barrier </w:t>
      </w:r>
      <w:r w:rsidRPr="00821ADA">
        <w:rPr>
          <w:sz w:val="22"/>
          <w:szCs w:val="22"/>
        </w:rPr>
        <w:t xml:space="preserve">(BBB) juga memiliki batas nilai ≥0,3 yang berarti senyawa dapat menembus penghalang otak dan batas nilai ≤-1 yang diduga senyawa tersebut tidak dapat terdistribusi di otak dengan baik (Pires et al., 2015), maka dari itu untuk senyawa </w:t>
      </w:r>
      <w:r w:rsidRPr="00821ADA">
        <w:rPr>
          <w:i/>
          <w:sz w:val="22"/>
          <w:szCs w:val="22"/>
        </w:rPr>
        <w:t xml:space="preserve">Caffeic acid, Eriodictyol, Ferulic acid, Flavan 3- ols, Luteolin, Naringenin, p- Coumaric acid, Resveratrol, Sinapinic </w:t>
      </w:r>
      <w:r w:rsidRPr="00821ADA">
        <w:rPr>
          <w:i/>
          <w:sz w:val="22"/>
          <w:szCs w:val="22"/>
        </w:rPr>
        <w:t>acid</w:t>
      </w:r>
      <w:r w:rsidRPr="00821ADA">
        <w:rPr>
          <w:sz w:val="22"/>
          <w:szCs w:val="22"/>
        </w:rPr>
        <w:t xml:space="preserve"> dan </w:t>
      </w:r>
      <w:r w:rsidRPr="00821ADA">
        <w:rPr>
          <w:i/>
          <w:sz w:val="22"/>
          <w:szCs w:val="22"/>
        </w:rPr>
        <w:t>Vanillic acid</w:t>
      </w:r>
      <w:r w:rsidRPr="00821ADA">
        <w:rPr>
          <w:sz w:val="22"/>
          <w:szCs w:val="22"/>
        </w:rPr>
        <w:t xml:space="preserve"> diduga tidak dapat menembus penghalang otak dengan baik namun masih terdapat kemungkinan untuk terdistribusi dalam otak dengan baik. Kemudian, nilai domain “IN” menunjukkan bahwa senyawa yang sudah di analisis memiliki kesesuaian dengan analisis berdasarkan RO5 (</w:t>
      </w:r>
      <w:proofErr w:type="gramStart"/>
      <w:r w:rsidRPr="00821ADA">
        <w:rPr>
          <w:sz w:val="22"/>
          <w:szCs w:val="22"/>
        </w:rPr>
        <w:t>massa</w:t>
      </w:r>
      <w:proofErr w:type="gramEnd"/>
      <w:r w:rsidRPr="00821ADA">
        <w:rPr>
          <w:sz w:val="22"/>
          <w:szCs w:val="22"/>
        </w:rPr>
        <w:t xml:space="preserve"> molekul, HBA, HBD, logP dan MR), karena nilai domain digunakan untuk mengevaluasi kembali potensi senyawa yang berpotensi sebagai senyawa antikanker dengan data substansial yang tersedia melalui jaringan komputer (Yang et al., 2017).</w:t>
      </w:r>
    </w:p>
    <w:p w:rsidR="00B41E28" w:rsidRPr="00821ADA" w:rsidRDefault="00B41E28" w:rsidP="00821ADA">
      <w:pPr>
        <w:jc w:val="center"/>
        <w:rPr>
          <w:b/>
          <w:iCs/>
          <w:sz w:val="22"/>
          <w:szCs w:val="22"/>
        </w:rPr>
        <w:sectPr w:rsidR="00B41E28" w:rsidRPr="00821ADA" w:rsidSect="0051620C">
          <w:footerReference w:type="first" r:id="rId24"/>
          <w:pgSz w:w="11907" w:h="16840" w:code="9"/>
          <w:pgMar w:top="1138" w:right="850" w:bottom="1138" w:left="850" w:header="1138" w:footer="1138" w:gutter="0"/>
          <w:pgNumType w:start="1"/>
          <w:cols w:num="2" w:space="720"/>
          <w:titlePg/>
          <w:docGrid w:linePitch="360"/>
        </w:sectPr>
      </w:pPr>
    </w:p>
    <w:p w:rsidR="003C1B3C" w:rsidRPr="00821ADA" w:rsidRDefault="00B41E28" w:rsidP="00821ADA">
      <w:pPr>
        <w:jc w:val="center"/>
        <w:rPr>
          <w:i/>
          <w:iCs/>
          <w:sz w:val="22"/>
          <w:szCs w:val="22"/>
        </w:rPr>
      </w:pPr>
      <w:r w:rsidRPr="00821ADA">
        <w:rPr>
          <w:b/>
          <w:iCs/>
          <w:sz w:val="22"/>
          <w:szCs w:val="22"/>
        </w:rPr>
        <w:t xml:space="preserve">Tabel 1. </w:t>
      </w:r>
      <w:r w:rsidRPr="00821ADA">
        <w:rPr>
          <w:iCs/>
          <w:sz w:val="22"/>
          <w:szCs w:val="22"/>
        </w:rPr>
        <w:t xml:space="preserve">Hasil Analisis Senyawa Menurut ADME </w:t>
      </w:r>
      <w:r w:rsidRPr="00821ADA">
        <w:rPr>
          <w:i/>
          <w:iCs/>
          <w:sz w:val="22"/>
          <w:szCs w:val="22"/>
        </w:rPr>
        <w:t>Test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2070"/>
        <w:gridCol w:w="1885"/>
        <w:gridCol w:w="1080"/>
        <w:gridCol w:w="1530"/>
        <w:gridCol w:w="1260"/>
        <w:gridCol w:w="1260"/>
      </w:tblGrid>
      <w:tr w:rsidR="00B41E28" w:rsidRPr="00821ADA" w:rsidTr="00037F63">
        <w:trPr>
          <w:trHeight w:val="700"/>
        </w:trPr>
        <w:tc>
          <w:tcPr>
            <w:tcW w:w="1080" w:type="dxa"/>
            <w:tcBorders>
              <w:bottom w:val="single" w:sz="4" w:space="0" w:color="auto"/>
            </w:tcBorders>
          </w:tcPr>
          <w:p w:rsidR="00B41E28" w:rsidRPr="00821ADA" w:rsidRDefault="00B41E28" w:rsidP="00821ADA">
            <w:pPr>
              <w:pStyle w:val="TableParagraph"/>
              <w:spacing w:line="231" w:lineRule="exact"/>
              <w:rPr>
                <w:rFonts w:ascii="Times New Roman" w:hAnsi="Times New Roman" w:cs="Times New Roman"/>
                <w:sz w:val="20"/>
              </w:rPr>
            </w:pPr>
            <w:r w:rsidRPr="00821ADA">
              <w:rPr>
                <w:rFonts w:ascii="Times New Roman" w:hAnsi="Times New Roman" w:cs="Times New Roman"/>
                <w:sz w:val="20"/>
              </w:rPr>
              <w:t>No</w:t>
            </w:r>
          </w:p>
        </w:tc>
        <w:tc>
          <w:tcPr>
            <w:tcW w:w="2070" w:type="dxa"/>
          </w:tcPr>
          <w:p w:rsidR="00B41E28" w:rsidRPr="00821ADA" w:rsidRDefault="00B41E28" w:rsidP="00821ADA">
            <w:pPr>
              <w:pStyle w:val="TableParagraph"/>
              <w:spacing w:line="231" w:lineRule="exact"/>
              <w:ind w:left="242" w:right="353"/>
              <w:rPr>
                <w:rFonts w:ascii="Times New Roman" w:hAnsi="Times New Roman" w:cs="Times New Roman"/>
                <w:sz w:val="20"/>
              </w:rPr>
            </w:pPr>
            <w:r w:rsidRPr="00821ADA">
              <w:rPr>
                <w:rFonts w:ascii="Times New Roman" w:hAnsi="Times New Roman" w:cs="Times New Roman"/>
                <w:sz w:val="20"/>
              </w:rPr>
              <w:t>Senyawa</w:t>
            </w:r>
          </w:p>
        </w:tc>
        <w:tc>
          <w:tcPr>
            <w:tcW w:w="1885" w:type="dxa"/>
            <w:tcBorders>
              <w:bottom w:val="single" w:sz="4" w:space="0" w:color="auto"/>
            </w:tcBorders>
          </w:tcPr>
          <w:p w:rsidR="00B41E28" w:rsidRPr="00821ADA" w:rsidRDefault="00B41E28" w:rsidP="00821ADA">
            <w:pPr>
              <w:pStyle w:val="TableParagraph"/>
              <w:spacing w:line="231" w:lineRule="exact"/>
              <w:ind w:left="372" w:right="272"/>
              <w:rPr>
                <w:rFonts w:ascii="Times New Roman" w:hAnsi="Times New Roman" w:cs="Times New Roman"/>
                <w:i/>
                <w:sz w:val="20"/>
              </w:rPr>
            </w:pPr>
            <w:r w:rsidRPr="00821ADA">
              <w:rPr>
                <w:rFonts w:ascii="Times New Roman" w:hAnsi="Times New Roman" w:cs="Times New Roman"/>
                <w:i/>
                <w:sz w:val="20"/>
              </w:rPr>
              <w:t>Webserver</w:t>
            </w:r>
          </w:p>
        </w:tc>
        <w:tc>
          <w:tcPr>
            <w:tcW w:w="1080" w:type="dxa"/>
            <w:tcBorders>
              <w:bottom w:val="single" w:sz="4" w:space="0" w:color="auto"/>
            </w:tcBorders>
          </w:tcPr>
          <w:p w:rsidR="00B41E28" w:rsidRPr="00821ADA" w:rsidRDefault="00B41E28" w:rsidP="00821ADA">
            <w:pPr>
              <w:pStyle w:val="TableParagraph"/>
              <w:spacing w:line="231" w:lineRule="exact"/>
              <w:ind w:left="266" w:right="129"/>
              <w:rPr>
                <w:rFonts w:ascii="Times New Roman" w:hAnsi="Times New Roman" w:cs="Times New Roman"/>
                <w:sz w:val="20"/>
              </w:rPr>
            </w:pPr>
            <w:r w:rsidRPr="00821ADA">
              <w:rPr>
                <w:rFonts w:ascii="Times New Roman" w:hAnsi="Times New Roman" w:cs="Times New Roman"/>
                <w:sz w:val="20"/>
              </w:rPr>
              <w:t>HIA</w:t>
            </w:r>
          </w:p>
        </w:tc>
        <w:tc>
          <w:tcPr>
            <w:tcW w:w="1530" w:type="dxa"/>
            <w:tcBorders>
              <w:bottom w:val="single" w:sz="4" w:space="0" w:color="auto"/>
            </w:tcBorders>
          </w:tcPr>
          <w:p w:rsidR="00B41E28" w:rsidRPr="00821ADA" w:rsidRDefault="00B41E28" w:rsidP="00821ADA">
            <w:pPr>
              <w:pStyle w:val="TableParagraph"/>
              <w:spacing w:line="221" w:lineRule="exact"/>
              <w:ind w:left="244"/>
              <w:jc w:val="left"/>
              <w:rPr>
                <w:rFonts w:ascii="Times New Roman" w:hAnsi="Times New Roman" w:cs="Times New Roman"/>
                <w:i/>
                <w:sz w:val="20"/>
              </w:rPr>
            </w:pPr>
            <w:r w:rsidRPr="00821ADA">
              <w:rPr>
                <w:rFonts w:ascii="Times New Roman" w:hAnsi="Times New Roman" w:cs="Times New Roman"/>
                <w:position w:val="1"/>
                <w:sz w:val="20"/>
              </w:rPr>
              <w:t>CaCO</w:t>
            </w:r>
            <w:r w:rsidRPr="00821ADA">
              <w:rPr>
                <w:rFonts w:ascii="Times New Roman" w:hAnsi="Times New Roman" w:cs="Times New Roman"/>
                <w:sz w:val="13"/>
              </w:rPr>
              <w:t>2</w:t>
            </w:r>
            <w:r w:rsidRPr="00821ADA">
              <w:rPr>
                <w:rFonts w:ascii="Times New Roman" w:hAnsi="Times New Roman" w:cs="Times New Roman"/>
                <w:spacing w:val="8"/>
                <w:sz w:val="13"/>
              </w:rPr>
              <w:t xml:space="preserve"> </w:t>
            </w:r>
            <w:r w:rsidRPr="00821ADA">
              <w:rPr>
                <w:rFonts w:ascii="Times New Roman" w:hAnsi="Times New Roman" w:cs="Times New Roman"/>
                <w:i/>
                <w:position w:val="1"/>
                <w:sz w:val="20"/>
              </w:rPr>
              <w:t>Cell</w:t>
            </w:r>
          </w:p>
          <w:p w:rsidR="00B41E28" w:rsidRPr="00821ADA" w:rsidRDefault="00B41E28" w:rsidP="00821ADA">
            <w:pPr>
              <w:pStyle w:val="TableParagraph"/>
              <w:spacing w:before="128"/>
              <w:ind w:left="148"/>
              <w:jc w:val="left"/>
              <w:rPr>
                <w:rFonts w:ascii="Times New Roman" w:hAnsi="Times New Roman" w:cs="Times New Roman"/>
                <w:i/>
                <w:sz w:val="20"/>
              </w:rPr>
            </w:pPr>
            <w:r w:rsidRPr="00821ADA">
              <w:rPr>
                <w:rFonts w:ascii="Times New Roman" w:hAnsi="Times New Roman" w:cs="Times New Roman"/>
                <w:i/>
                <w:sz w:val="20"/>
              </w:rPr>
              <w:t>Permeability</w:t>
            </w:r>
          </w:p>
        </w:tc>
        <w:tc>
          <w:tcPr>
            <w:tcW w:w="1260" w:type="dxa"/>
            <w:tcBorders>
              <w:bottom w:val="single" w:sz="4" w:space="0" w:color="auto"/>
            </w:tcBorders>
          </w:tcPr>
          <w:p w:rsidR="00B41E28" w:rsidRPr="00821ADA" w:rsidRDefault="00B41E28" w:rsidP="00821ADA">
            <w:pPr>
              <w:pStyle w:val="TableParagraph"/>
              <w:spacing w:line="231" w:lineRule="exact"/>
              <w:ind w:left="106" w:right="136"/>
              <w:rPr>
                <w:rFonts w:ascii="Times New Roman" w:hAnsi="Times New Roman" w:cs="Times New Roman"/>
                <w:sz w:val="20"/>
              </w:rPr>
            </w:pPr>
            <w:r w:rsidRPr="00821ADA">
              <w:rPr>
                <w:rFonts w:ascii="Times New Roman" w:hAnsi="Times New Roman" w:cs="Times New Roman"/>
                <w:sz w:val="20"/>
              </w:rPr>
              <w:t>BBB</w:t>
            </w:r>
          </w:p>
        </w:tc>
        <w:tc>
          <w:tcPr>
            <w:tcW w:w="1260" w:type="dxa"/>
          </w:tcPr>
          <w:p w:rsidR="00B41E28" w:rsidRPr="00821ADA" w:rsidRDefault="00B41E28" w:rsidP="00821ADA">
            <w:pPr>
              <w:pStyle w:val="TableParagraph"/>
              <w:spacing w:line="231" w:lineRule="exact"/>
              <w:ind w:left="124" w:right="149"/>
              <w:rPr>
                <w:rFonts w:ascii="Times New Roman" w:hAnsi="Times New Roman" w:cs="Times New Roman"/>
                <w:sz w:val="20"/>
              </w:rPr>
            </w:pPr>
            <w:r w:rsidRPr="00821ADA">
              <w:rPr>
                <w:rFonts w:ascii="Times New Roman" w:hAnsi="Times New Roman" w:cs="Times New Roman"/>
                <w:sz w:val="20"/>
              </w:rPr>
              <w:t>Domain</w:t>
            </w:r>
          </w:p>
        </w:tc>
      </w:tr>
      <w:tr w:rsidR="00B41E28" w:rsidRPr="00821ADA" w:rsidTr="00037F63">
        <w:trPr>
          <w:trHeight w:val="352"/>
        </w:trPr>
        <w:tc>
          <w:tcPr>
            <w:tcW w:w="1080" w:type="dxa"/>
            <w:vMerge w:val="restart"/>
            <w:tcBorders>
              <w:right w:val="nil"/>
            </w:tcBorders>
          </w:tcPr>
          <w:p w:rsidR="00B41E28" w:rsidRPr="00821ADA" w:rsidRDefault="00B41E28" w:rsidP="00821ADA">
            <w:pPr>
              <w:pStyle w:val="TableParagraph"/>
              <w:spacing w:line="231" w:lineRule="exact"/>
              <w:ind w:right="-11"/>
              <w:rPr>
                <w:rFonts w:ascii="Times New Roman" w:hAnsi="Times New Roman" w:cs="Times New Roman"/>
                <w:sz w:val="20"/>
              </w:rPr>
            </w:pPr>
            <w:r w:rsidRPr="00821ADA">
              <w:rPr>
                <w:rFonts w:ascii="Times New Roman" w:hAnsi="Times New Roman" w:cs="Times New Roman"/>
                <w:w w:val="97"/>
                <w:sz w:val="20"/>
              </w:rPr>
              <w:t>1</w:t>
            </w:r>
          </w:p>
        </w:tc>
        <w:tc>
          <w:tcPr>
            <w:tcW w:w="2070" w:type="dxa"/>
            <w:vMerge w:val="restart"/>
            <w:tcBorders>
              <w:left w:val="nil"/>
              <w:right w:val="nil"/>
            </w:tcBorders>
          </w:tcPr>
          <w:p w:rsidR="00B41E28" w:rsidRPr="00821ADA" w:rsidRDefault="00B41E28" w:rsidP="00821ADA">
            <w:pPr>
              <w:pStyle w:val="TableParagraph"/>
              <w:spacing w:line="231" w:lineRule="exact"/>
              <w:ind w:left="246" w:right="353"/>
              <w:rPr>
                <w:rFonts w:ascii="Times New Roman" w:hAnsi="Times New Roman" w:cs="Times New Roman"/>
                <w:sz w:val="20"/>
              </w:rPr>
            </w:pPr>
            <w:r w:rsidRPr="00821ADA">
              <w:rPr>
                <w:rFonts w:ascii="Times New Roman" w:hAnsi="Times New Roman" w:cs="Times New Roman"/>
                <w:sz w:val="20"/>
              </w:rPr>
              <w:t>Caffeic</w:t>
            </w:r>
            <w:r w:rsidRPr="00821ADA">
              <w:rPr>
                <w:rFonts w:ascii="Times New Roman" w:hAnsi="Times New Roman" w:cs="Times New Roman"/>
                <w:spacing w:val="-4"/>
                <w:sz w:val="20"/>
              </w:rPr>
              <w:t xml:space="preserve"> </w:t>
            </w:r>
            <w:r w:rsidRPr="00821ADA">
              <w:rPr>
                <w:rFonts w:ascii="Times New Roman" w:hAnsi="Times New Roman" w:cs="Times New Roman"/>
                <w:sz w:val="20"/>
              </w:rPr>
              <w:t>acid</w:t>
            </w:r>
          </w:p>
        </w:tc>
        <w:tc>
          <w:tcPr>
            <w:tcW w:w="1885" w:type="dxa"/>
            <w:tcBorders>
              <w:left w:val="nil"/>
              <w:right w:val="nil"/>
            </w:tcBorders>
          </w:tcPr>
          <w:p w:rsidR="00B41E28" w:rsidRPr="00821ADA" w:rsidRDefault="00B41E28" w:rsidP="00821ADA">
            <w:pPr>
              <w:pStyle w:val="TableParagraph"/>
              <w:spacing w:line="231" w:lineRule="exact"/>
              <w:ind w:left="373" w:right="271"/>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spacing w:line="231" w:lineRule="exact"/>
              <w:ind w:left="266" w:right="135"/>
              <w:rPr>
                <w:rFonts w:ascii="Times New Roman" w:hAnsi="Times New Roman" w:cs="Times New Roman"/>
                <w:sz w:val="20"/>
              </w:rPr>
            </w:pPr>
            <w:r w:rsidRPr="00821ADA">
              <w:rPr>
                <w:rFonts w:ascii="Times New Roman" w:hAnsi="Times New Roman" w:cs="Times New Roman"/>
                <w:sz w:val="20"/>
              </w:rPr>
              <w:t>69.407</w:t>
            </w:r>
          </w:p>
        </w:tc>
        <w:tc>
          <w:tcPr>
            <w:tcW w:w="1530" w:type="dxa"/>
            <w:tcBorders>
              <w:left w:val="nil"/>
              <w:right w:val="nil"/>
            </w:tcBorders>
          </w:tcPr>
          <w:p w:rsidR="00B41E28" w:rsidRPr="00821ADA" w:rsidRDefault="00B41E28" w:rsidP="00821ADA">
            <w:pPr>
              <w:pStyle w:val="TableParagraph"/>
              <w:spacing w:line="231" w:lineRule="exact"/>
              <w:ind w:left="94"/>
              <w:rPr>
                <w:rFonts w:ascii="Times New Roman" w:hAnsi="Times New Roman" w:cs="Times New Roman"/>
                <w:sz w:val="20"/>
              </w:rPr>
            </w:pPr>
            <w:r w:rsidRPr="00821ADA">
              <w:rPr>
                <w:rFonts w:ascii="Times New Roman" w:hAnsi="Times New Roman" w:cs="Times New Roman"/>
                <w:color w:val="FF0000"/>
                <w:sz w:val="20"/>
              </w:rPr>
              <w:t>0.634</w:t>
            </w:r>
          </w:p>
        </w:tc>
        <w:tc>
          <w:tcPr>
            <w:tcW w:w="1260" w:type="dxa"/>
            <w:tcBorders>
              <w:left w:val="nil"/>
              <w:right w:val="nil"/>
            </w:tcBorders>
          </w:tcPr>
          <w:p w:rsidR="00B41E28" w:rsidRPr="00821ADA" w:rsidRDefault="00B41E28" w:rsidP="00821ADA">
            <w:pPr>
              <w:pStyle w:val="TableParagraph"/>
              <w:spacing w:line="231" w:lineRule="exact"/>
              <w:ind w:left="116" w:right="136"/>
              <w:rPr>
                <w:rFonts w:ascii="Times New Roman" w:hAnsi="Times New Roman" w:cs="Times New Roman"/>
                <w:sz w:val="20"/>
              </w:rPr>
            </w:pPr>
            <w:r w:rsidRPr="00821ADA">
              <w:rPr>
                <w:rFonts w:ascii="Times New Roman" w:hAnsi="Times New Roman" w:cs="Times New Roman"/>
                <w:sz w:val="20"/>
              </w:rPr>
              <w:t>-0.647</w:t>
            </w:r>
          </w:p>
        </w:tc>
        <w:tc>
          <w:tcPr>
            <w:tcW w:w="1260" w:type="dxa"/>
            <w:tcBorders>
              <w:left w:val="nil"/>
            </w:tcBorders>
          </w:tcPr>
          <w:p w:rsidR="00B41E28" w:rsidRPr="00821ADA" w:rsidRDefault="00B41E28" w:rsidP="00821ADA">
            <w:pPr>
              <w:pStyle w:val="TableParagraph"/>
              <w:jc w:val="left"/>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jc w:val="left"/>
              <w:rPr>
                <w:rFonts w:ascii="Times New Roman" w:hAnsi="Times New Roman" w:cs="Times New Roman"/>
                <w:sz w:val="16"/>
              </w:rPr>
            </w:pPr>
          </w:p>
        </w:tc>
        <w:tc>
          <w:tcPr>
            <w:tcW w:w="1885" w:type="dxa"/>
            <w:tcBorders>
              <w:left w:val="nil"/>
              <w:bottom w:val="single" w:sz="4" w:space="0" w:color="auto"/>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bottom w:val="single" w:sz="4" w:space="0" w:color="auto"/>
              <w:right w:val="nil"/>
            </w:tcBorders>
          </w:tcPr>
          <w:p w:rsidR="00B41E28" w:rsidRPr="00821ADA" w:rsidRDefault="00B41E28" w:rsidP="00821ADA">
            <w:pPr>
              <w:pStyle w:val="TableParagraph"/>
              <w:jc w:val="left"/>
              <w:rPr>
                <w:rFonts w:ascii="Times New Roman" w:hAnsi="Times New Roman" w:cs="Times New Roman"/>
                <w:sz w:val="16"/>
              </w:rPr>
            </w:pPr>
          </w:p>
        </w:tc>
        <w:tc>
          <w:tcPr>
            <w:tcW w:w="1530" w:type="dxa"/>
            <w:tcBorders>
              <w:left w:val="nil"/>
              <w:bottom w:val="single" w:sz="4" w:space="0" w:color="auto"/>
              <w:right w:val="nil"/>
            </w:tcBorders>
          </w:tcPr>
          <w:p w:rsidR="00B41E28" w:rsidRPr="00821ADA" w:rsidRDefault="00B41E28" w:rsidP="00821ADA">
            <w:pPr>
              <w:pStyle w:val="TableParagraph"/>
              <w:jc w:val="left"/>
              <w:rPr>
                <w:rFonts w:ascii="Times New Roman" w:hAnsi="Times New Roman" w:cs="Times New Roman"/>
                <w:sz w:val="16"/>
              </w:rPr>
            </w:pPr>
          </w:p>
        </w:tc>
        <w:tc>
          <w:tcPr>
            <w:tcW w:w="1260" w:type="dxa"/>
            <w:tcBorders>
              <w:left w:val="nil"/>
              <w:bottom w:val="single" w:sz="4" w:space="0" w:color="auto"/>
              <w:right w:val="nil"/>
            </w:tcBorders>
          </w:tcPr>
          <w:p w:rsidR="00B41E28" w:rsidRPr="00821ADA" w:rsidRDefault="00B41E28" w:rsidP="00821ADA">
            <w:pPr>
              <w:pStyle w:val="TableParagraph"/>
              <w:jc w:val="left"/>
              <w:rPr>
                <w:rFonts w:ascii="Times New Roman" w:hAnsi="Times New Roman" w:cs="Times New Roman"/>
                <w:sz w:val="16"/>
              </w:rPr>
            </w:pPr>
          </w:p>
        </w:tc>
        <w:tc>
          <w:tcPr>
            <w:tcW w:w="1260" w:type="dxa"/>
            <w:tcBorders>
              <w:left w:val="nil"/>
              <w:bottom w:val="single" w:sz="4" w:space="0" w:color="auto"/>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w w:val="97"/>
                <w:sz w:val="20"/>
              </w:rPr>
              <w:t>2</w:t>
            </w:r>
          </w:p>
        </w:tc>
        <w:tc>
          <w:tcPr>
            <w:tcW w:w="2070" w:type="dxa"/>
            <w:vMerge w:val="restart"/>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Cinnamic</w:t>
            </w:r>
            <w:r w:rsidRPr="00821ADA">
              <w:rPr>
                <w:rFonts w:ascii="Times New Roman" w:hAnsi="Times New Roman" w:cs="Times New Roman"/>
                <w:spacing w:val="-5"/>
                <w:sz w:val="20"/>
              </w:rPr>
              <w:t xml:space="preserve"> </w:t>
            </w:r>
            <w:r w:rsidRPr="00821ADA">
              <w:rPr>
                <w:rFonts w:ascii="Times New Roman" w:hAnsi="Times New Roman" w:cs="Times New Roman"/>
                <w:sz w:val="20"/>
              </w:rPr>
              <w:t>acid</w:t>
            </w: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94.833</w:t>
            </w: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1.717</w:t>
            </w: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0.446</w:t>
            </w: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885" w:type="dxa"/>
            <w:tcBorders>
              <w:left w:val="nil"/>
              <w:bottom w:val="single" w:sz="4" w:space="0" w:color="auto"/>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bottom w:val="single" w:sz="4" w:space="0" w:color="auto"/>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bottom w:val="single" w:sz="4" w:space="0" w:color="auto"/>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3</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Ellagic</w:t>
            </w:r>
            <w:r w:rsidRPr="00821ADA">
              <w:rPr>
                <w:rFonts w:ascii="Times New Roman" w:hAnsi="Times New Roman" w:cs="Times New Roman"/>
                <w:spacing w:val="-7"/>
                <w:sz w:val="20"/>
              </w:rPr>
              <w:t xml:space="preserve"> </w:t>
            </w:r>
            <w:r w:rsidRPr="00821ADA">
              <w:rPr>
                <w:rFonts w:ascii="Times New Roman" w:hAnsi="Times New Roman" w:cs="Times New Roman"/>
                <w:sz w:val="20"/>
              </w:rPr>
              <w:t>acid</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86.684</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0.335</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-1.272</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bottom w:val="single" w:sz="4" w:space="0" w:color="auto"/>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bottom w:val="single" w:sz="4" w:space="0" w:color="auto"/>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bottom w:val="single" w:sz="4" w:space="0" w:color="auto"/>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4</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Eriodictyol</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74.687</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-0.094</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-0.827</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bottom w:val="single" w:sz="4" w:space="0" w:color="auto"/>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bottom w:val="single" w:sz="4" w:space="0" w:color="auto"/>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bottom w:val="single" w:sz="4" w:space="0" w:color="auto"/>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5</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Ferulic</w:t>
            </w:r>
            <w:r w:rsidRPr="00821ADA">
              <w:rPr>
                <w:rFonts w:ascii="Times New Roman" w:hAnsi="Times New Roman" w:cs="Times New Roman"/>
                <w:spacing w:val="-4"/>
                <w:sz w:val="20"/>
              </w:rPr>
              <w:t xml:space="preserve"> </w:t>
            </w:r>
            <w:r w:rsidRPr="00821ADA">
              <w:rPr>
                <w:rFonts w:ascii="Times New Roman" w:hAnsi="Times New Roman" w:cs="Times New Roman"/>
                <w:sz w:val="20"/>
              </w:rPr>
              <w:t>acid</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93.685</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0.176</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-0.239</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w w:val="97"/>
                <w:sz w:val="20"/>
              </w:rPr>
              <w:t>6</w:t>
            </w:r>
          </w:p>
        </w:tc>
        <w:tc>
          <w:tcPr>
            <w:tcW w:w="2070" w:type="dxa"/>
            <w:vMerge w:val="restart"/>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Flavan</w:t>
            </w:r>
            <w:r w:rsidRPr="00821ADA">
              <w:rPr>
                <w:rFonts w:ascii="Times New Roman" w:hAnsi="Times New Roman" w:cs="Times New Roman"/>
                <w:spacing w:val="-4"/>
                <w:sz w:val="20"/>
              </w:rPr>
              <w:t xml:space="preserve"> </w:t>
            </w:r>
            <w:r w:rsidRPr="00821ADA">
              <w:rPr>
                <w:rFonts w:ascii="Times New Roman" w:hAnsi="Times New Roman" w:cs="Times New Roman"/>
                <w:sz w:val="20"/>
              </w:rPr>
              <w:t>3-ols</w:t>
            </w: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91.482</w:t>
            </w: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1.077</w:t>
            </w: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-0.818</w:t>
            </w: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w w:val="97"/>
                <w:sz w:val="20"/>
              </w:rPr>
              <w:t>7</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Luteolin</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81.13</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0.096</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-0.907</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w w:val="97"/>
                <w:sz w:val="20"/>
              </w:rPr>
              <w:t>8</w:t>
            </w:r>
          </w:p>
        </w:tc>
        <w:tc>
          <w:tcPr>
            <w:tcW w:w="2070" w:type="dxa"/>
            <w:vMerge w:val="restart"/>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Naringenin</w:t>
            </w: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91.31</w:t>
            </w: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1.029</w:t>
            </w: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-0.578</w:t>
            </w: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w w:val="97"/>
                <w:sz w:val="20"/>
              </w:rPr>
              <w:t>9</w:t>
            </w:r>
          </w:p>
        </w:tc>
        <w:tc>
          <w:tcPr>
            <w:tcW w:w="2070" w:type="dxa"/>
            <w:vMerge w:val="restart"/>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p-Coumaric</w:t>
            </w:r>
            <w:r w:rsidRPr="00821ADA">
              <w:rPr>
                <w:rFonts w:ascii="Times New Roman" w:hAnsi="Times New Roman" w:cs="Times New Roman"/>
                <w:spacing w:val="-7"/>
                <w:sz w:val="20"/>
              </w:rPr>
              <w:t xml:space="preserve"> </w:t>
            </w:r>
            <w:r w:rsidRPr="00821ADA">
              <w:rPr>
                <w:rFonts w:ascii="Times New Roman" w:hAnsi="Times New Roman" w:cs="Times New Roman"/>
                <w:sz w:val="20"/>
              </w:rPr>
              <w:t>acid</w:t>
            </w: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93.494</w:t>
            </w: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1.21</w:t>
            </w: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-0.225</w:t>
            </w: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10</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Quercetin</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77.207</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-0.229</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-1.098</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11</w:t>
            </w:r>
          </w:p>
        </w:tc>
        <w:tc>
          <w:tcPr>
            <w:tcW w:w="2070" w:type="dxa"/>
            <w:vMerge w:val="restart"/>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Resveratrol</w:t>
            </w: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90.935</w:t>
            </w: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1.17</w:t>
            </w: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-0.048</w:t>
            </w: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shd w:val="clear" w:color="auto" w:fill="F7CAAC"/>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shd w:val="clear" w:color="auto" w:fill="F7CAAC"/>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shd w:val="clear" w:color="auto" w:fill="F7CAAC"/>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12</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Sinapinic</w:t>
            </w:r>
            <w:r w:rsidRPr="00821ADA">
              <w:rPr>
                <w:rFonts w:ascii="Times New Roman" w:hAnsi="Times New Roman" w:cs="Times New Roman"/>
                <w:spacing w:val="-8"/>
                <w:sz w:val="20"/>
              </w:rPr>
              <w:t xml:space="preserve"> </w:t>
            </w:r>
            <w:r w:rsidRPr="00821ADA">
              <w:rPr>
                <w:rFonts w:ascii="Times New Roman" w:hAnsi="Times New Roman" w:cs="Times New Roman"/>
                <w:sz w:val="20"/>
              </w:rPr>
              <w:t>acid</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93.064</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0.272</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-0.247</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13</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Vanillic</w:t>
            </w:r>
            <w:r w:rsidRPr="00821ADA">
              <w:rPr>
                <w:rFonts w:ascii="Times New Roman" w:hAnsi="Times New Roman" w:cs="Times New Roman"/>
                <w:spacing w:val="-4"/>
                <w:sz w:val="20"/>
              </w:rPr>
              <w:t xml:space="preserve"> </w:t>
            </w:r>
            <w:r w:rsidRPr="00821ADA">
              <w:rPr>
                <w:rFonts w:ascii="Times New Roman" w:hAnsi="Times New Roman" w:cs="Times New Roman"/>
                <w:sz w:val="20"/>
              </w:rPr>
              <w:t>acid</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78.152</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0.33</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-0.38</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r w:rsidR="00B41E28" w:rsidRPr="00821ADA" w:rsidTr="00037F63">
        <w:trPr>
          <w:trHeight w:val="231"/>
        </w:trPr>
        <w:tc>
          <w:tcPr>
            <w:tcW w:w="1080" w:type="dxa"/>
            <w:vMerge w:val="restart"/>
            <w:tcBorders>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14</w:t>
            </w:r>
          </w:p>
        </w:tc>
        <w:tc>
          <w:tcPr>
            <w:tcW w:w="2070" w:type="dxa"/>
            <w:vMerge w:val="restart"/>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Doxorubicin</w:t>
            </w: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pkCSM</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sz w:val="20"/>
              </w:rPr>
              <w:t>55.781</w:t>
            </w: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-0.397</w:t>
            </w: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r w:rsidRPr="00821ADA">
              <w:rPr>
                <w:rFonts w:ascii="Times New Roman" w:hAnsi="Times New Roman" w:cs="Times New Roman"/>
                <w:color w:val="FF0000"/>
                <w:sz w:val="20"/>
              </w:rPr>
              <w:t>-1.592</w:t>
            </w: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p>
        </w:tc>
      </w:tr>
      <w:tr w:rsidR="00B41E28" w:rsidRPr="00821ADA" w:rsidTr="00037F63">
        <w:trPr>
          <w:trHeight w:val="231"/>
        </w:trPr>
        <w:tc>
          <w:tcPr>
            <w:tcW w:w="1080" w:type="dxa"/>
            <w:vMerge/>
            <w:tcBorders>
              <w:right w:val="nil"/>
            </w:tcBorders>
          </w:tcPr>
          <w:p w:rsidR="00B41E28" w:rsidRPr="00821ADA" w:rsidRDefault="00B41E28" w:rsidP="00821ADA">
            <w:pPr>
              <w:pStyle w:val="TableParagraph"/>
              <w:rPr>
                <w:rFonts w:ascii="Times New Roman" w:hAnsi="Times New Roman" w:cs="Times New Roman"/>
                <w:sz w:val="16"/>
              </w:rPr>
            </w:pPr>
          </w:p>
        </w:tc>
        <w:tc>
          <w:tcPr>
            <w:tcW w:w="2070" w:type="dxa"/>
            <w:vMerge/>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885" w:type="dxa"/>
            <w:tcBorders>
              <w:left w:val="nil"/>
              <w:right w:val="nil"/>
            </w:tcBorders>
          </w:tcPr>
          <w:p w:rsidR="00B41E28" w:rsidRPr="00821ADA" w:rsidRDefault="00B41E28" w:rsidP="00821ADA">
            <w:pPr>
              <w:pStyle w:val="TableParagraph"/>
              <w:spacing w:line="211" w:lineRule="exact"/>
              <w:ind w:left="373" w:right="272"/>
              <w:rPr>
                <w:rFonts w:ascii="Times New Roman" w:hAnsi="Times New Roman" w:cs="Times New Roman"/>
                <w:sz w:val="20"/>
              </w:rPr>
            </w:pPr>
            <w:r w:rsidRPr="00821ADA">
              <w:rPr>
                <w:rFonts w:ascii="Times New Roman" w:hAnsi="Times New Roman" w:cs="Times New Roman"/>
                <w:sz w:val="20"/>
              </w:rPr>
              <w:t>admetSAR</w:t>
            </w:r>
            <w:r w:rsidRPr="00821ADA">
              <w:rPr>
                <w:rFonts w:ascii="Times New Roman" w:hAnsi="Times New Roman" w:cs="Times New Roman"/>
                <w:spacing w:val="-8"/>
                <w:sz w:val="20"/>
              </w:rPr>
              <w:t xml:space="preserve"> </w:t>
            </w:r>
            <w:r w:rsidRPr="00821ADA">
              <w:rPr>
                <w:rFonts w:ascii="Times New Roman" w:hAnsi="Times New Roman" w:cs="Times New Roman"/>
                <w:sz w:val="20"/>
              </w:rPr>
              <w:t>2.0</w:t>
            </w:r>
          </w:p>
        </w:tc>
        <w:tc>
          <w:tcPr>
            <w:tcW w:w="108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53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right w:val="nil"/>
            </w:tcBorders>
          </w:tcPr>
          <w:p w:rsidR="00B41E28" w:rsidRPr="00821ADA" w:rsidRDefault="00B41E28" w:rsidP="00821ADA">
            <w:pPr>
              <w:pStyle w:val="TableParagraph"/>
              <w:rPr>
                <w:rFonts w:ascii="Times New Roman" w:hAnsi="Times New Roman" w:cs="Times New Roman"/>
                <w:sz w:val="16"/>
              </w:rPr>
            </w:pPr>
          </w:p>
        </w:tc>
        <w:tc>
          <w:tcPr>
            <w:tcW w:w="1260" w:type="dxa"/>
            <w:tcBorders>
              <w:left w:val="nil"/>
            </w:tcBorders>
          </w:tcPr>
          <w:p w:rsidR="00B41E28" w:rsidRPr="00821ADA" w:rsidRDefault="00B41E28" w:rsidP="00821ADA">
            <w:pPr>
              <w:pStyle w:val="TableParagraph"/>
              <w:spacing w:line="211" w:lineRule="exact"/>
              <w:ind w:left="122" w:right="149"/>
              <w:rPr>
                <w:rFonts w:ascii="Times New Roman" w:hAnsi="Times New Roman" w:cs="Times New Roman"/>
                <w:sz w:val="20"/>
              </w:rPr>
            </w:pPr>
            <w:r w:rsidRPr="00821ADA">
              <w:rPr>
                <w:rFonts w:ascii="Times New Roman" w:hAnsi="Times New Roman" w:cs="Times New Roman"/>
                <w:sz w:val="20"/>
              </w:rPr>
              <w:t>IN</w:t>
            </w:r>
          </w:p>
        </w:tc>
      </w:tr>
    </w:tbl>
    <w:p w:rsidR="00B41E28" w:rsidRPr="00821ADA" w:rsidRDefault="00B41E28" w:rsidP="00821ADA">
      <w:pPr>
        <w:rPr>
          <w:iCs/>
          <w:sz w:val="22"/>
          <w:szCs w:val="22"/>
        </w:rPr>
        <w:sectPr w:rsidR="00B41E28" w:rsidRPr="00821ADA" w:rsidSect="00B41E28">
          <w:type w:val="continuous"/>
          <w:pgSz w:w="11907" w:h="16840" w:code="9"/>
          <w:pgMar w:top="1138" w:right="850" w:bottom="1138" w:left="850" w:header="1138" w:footer="1138" w:gutter="0"/>
          <w:pgNumType w:start="1"/>
          <w:cols w:space="720"/>
          <w:titlePg/>
          <w:docGrid w:linePitch="360"/>
        </w:sectPr>
      </w:pPr>
    </w:p>
    <w:p w:rsidR="00B41E28" w:rsidRPr="00821ADA" w:rsidRDefault="00B41E28" w:rsidP="00821ADA">
      <w:pPr>
        <w:jc w:val="both"/>
        <w:rPr>
          <w:b/>
          <w:bCs/>
          <w:sz w:val="22"/>
          <w:szCs w:val="22"/>
        </w:rPr>
      </w:pPr>
      <w:r w:rsidRPr="00821ADA">
        <w:rPr>
          <w:b/>
          <w:bCs/>
          <w:sz w:val="22"/>
          <w:szCs w:val="22"/>
        </w:rPr>
        <w:t>3.4 Hasil Analisis Toksisitas Senyawa Metabolit Sekunder Biji Anggur Merah (Vitis vinifera L.)</w:t>
      </w:r>
    </w:p>
    <w:p w:rsidR="00B41E28" w:rsidRPr="00821ADA" w:rsidRDefault="00B41E28" w:rsidP="00821ADA">
      <w:pPr>
        <w:jc w:val="both"/>
        <w:rPr>
          <w:sz w:val="22"/>
          <w:szCs w:val="22"/>
        </w:rPr>
      </w:pPr>
      <w:r w:rsidRPr="00821ADA">
        <w:rPr>
          <w:sz w:val="22"/>
          <w:szCs w:val="22"/>
        </w:rPr>
        <w:t xml:space="preserve">Hasil analisis menunjukkan bahwa senyawa Naringenin menurut </w:t>
      </w:r>
      <w:r w:rsidRPr="00821ADA">
        <w:rPr>
          <w:i/>
          <w:sz w:val="22"/>
          <w:szCs w:val="22"/>
        </w:rPr>
        <w:t>Toxicity Checker</w:t>
      </w:r>
      <w:r w:rsidRPr="00821ADA">
        <w:rPr>
          <w:sz w:val="22"/>
          <w:szCs w:val="22"/>
        </w:rPr>
        <w:t xml:space="preserve"> tergolong senyawa non toxic dan menurut Protox III tergolong </w:t>
      </w:r>
      <w:r w:rsidRPr="00821ADA">
        <w:rPr>
          <w:sz w:val="22"/>
          <w:szCs w:val="22"/>
        </w:rPr>
        <w:t>kelas IV (300&lt;LD50≤2000 mg/kg) yang berarti berbahaya jika tertelan (Tabel 2) Semakin tinggi nilai LD50 maka semakin kecil bahaya senyawa bagi tubuh (Miyagawa, 2010).</w:t>
      </w:r>
    </w:p>
    <w:p w:rsidR="00B41E28" w:rsidRPr="00821ADA" w:rsidRDefault="00B41E28" w:rsidP="00821ADA">
      <w:pPr>
        <w:jc w:val="both"/>
        <w:rPr>
          <w:iCs/>
          <w:sz w:val="22"/>
          <w:szCs w:val="22"/>
        </w:rPr>
        <w:sectPr w:rsidR="00B41E28" w:rsidRPr="00821ADA" w:rsidSect="00B41E28">
          <w:type w:val="continuous"/>
          <w:pgSz w:w="11907" w:h="16840" w:code="9"/>
          <w:pgMar w:top="1138" w:right="850" w:bottom="1138" w:left="850" w:header="1138" w:footer="1138" w:gutter="0"/>
          <w:pgNumType w:start="1"/>
          <w:cols w:num="2" w:space="720"/>
          <w:titlePg/>
          <w:docGrid w:linePitch="360"/>
        </w:sectPr>
      </w:pPr>
    </w:p>
    <w:p w:rsidR="00B41E28" w:rsidRPr="00821ADA" w:rsidRDefault="00B41E28" w:rsidP="00821ADA">
      <w:pPr>
        <w:jc w:val="center"/>
        <w:rPr>
          <w:iCs/>
          <w:sz w:val="22"/>
          <w:szCs w:val="22"/>
        </w:rPr>
      </w:pPr>
      <w:r w:rsidRPr="00821ADA">
        <w:rPr>
          <w:b/>
          <w:iCs/>
          <w:sz w:val="22"/>
          <w:szCs w:val="22"/>
        </w:rPr>
        <w:t>Tabel 2.</w:t>
      </w:r>
      <w:r w:rsidRPr="00821ADA">
        <w:rPr>
          <w:iCs/>
          <w:sz w:val="22"/>
          <w:szCs w:val="22"/>
        </w:rPr>
        <w:t xml:space="preserve"> Hasil Analisis Toksisitas Senyawa</w:t>
      </w:r>
    </w:p>
    <w:tbl>
      <w:tblPr>
        <w:tblW w:w="0" w:type="auto"/>
        <w:jc w:val="center"/>
        <w:tblLayout w:type="fixed"/>
        <w:tblCellMar>
          <w:left w:w="0" w:type="dxa"/>
          <w:right w:w="0" w:type="dxa"/>
        </w:tblCellMar>
        <w:tblLook w:val="01E0" w:firstRow="1" w:lastRow="1" w:firstColumn="1" w:lastColumn="1" w:noHBand="0" w:noVBand="0"/>
      </w:tblPr>
      <w:tblGrid>
        <w:gridCol w:w="900"/>
        <w:gridCol w:w="2340"/>
        <w:gridCol w:w="3510"/>
        <w:gridCol w:w="2880"/>
      </w:tblGrid>
      <w:tr w:rsidR="00B41E28" w:rsidRPr="00821ADA" w:rsidTr="00B41E28">
        <w:trPr>
          <w:trHeight w:val="350"/>
          <w:jc w:val="center"/>
        </w:trPr>
        <w:tc>
          <w:tcPr>
            <w:tcW w:w="900" w:type="dxa"/>
            <w:tcBorders>
              <w:top w:val="single" w:sz="4" w:space="0" w:color="000000"/>
              <w:bottom w:val="single" w:sz="4" w:space="0" w:color="000000"/>
            </w:tcBorders>
          </w:tcPr>
          <w:p w:rsidR="00B41E28" w:rsidRPr="00821ADA" w:rsidRDefault="00B41E28" w:rsidP="00821ADA">
            <w:pPr>
              <w:pStyle w:val="TableParagraph"/>
              <w:spacing w:line="231" w:lineRule="exact"/>
              <w:ind w:left="259" w:hanging="213"/>
              <w:rPr>
                <w:rFonts w:ascii="Times New Roman" w:hAnsi="Times New Roman" w:cs="Times New Roman"/>
                <w:sz w:val="20"/>
              </w:rPr>
            </w:pPr>
            <w:r w:rsidRPr="00821ADA">
              <w:rPr>
                <w:rFonts w:ascii="Times New Roman" w:hAnsi="Times New Roman" w:cs="Times New Roman"/>
                <w:sz w:val="20"/>
              </w:rPr>
              <w:t>No</w:t>
            </w:r>
          </w:p>
        </w:tc>
        <w:tc>
          <w:tcPr>
            <w:tcW w:w="2340" w:type="dxa"/>
            <w:tcBorders>
              <w:top w:val="single" w:sz="4" w:space="0" w:color="000000"/>
              <w:bottom w:val="single" w:sz="4" w:space="0" w:color="000000"/>
            </w:tcBorders>
          </w:tcPr>
          <w:p w:rsidR="00B41E28" w:rsidRPr="00821ADA" w:rsidRDefault="00B41E28" w:rsidP="00821ADA">
            <w:pPr>
              <w:pStyle w:val="TableParagraph"/>
              <w:spacing w:line="231" w:lineRule="exact"/>
              <w:ind w:left="406" w:right="589"/>
              <w:rPr>
                <w:rFonts w:ascii="Times New Roman" w:hAnsi="Times New Roman" w:cs="Times New Roman"/>
                <w:sz w:val="20"/>
              </w:rPr>
            </w:pPr>
            <w:r w:rsidRPr="00821ADA">
              <w:rPr>
                <w:rFonts w:ascii="Times New Roman" w:hAnsi="Times New Roman" w:cs="Times New Roman"/>
                <w:sz w:val="20"/>
              </w:rPr>
              <w:t>Senyawa</w:t>
            </w: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2"/>
              <w:rPr>
                <w:rFonts w:ascii="Times New Roman" w:hAnsi="Times New Roman" w:cs="Times New Roman"/>
                <w:i/>
                <w:sz w:val="20"/>
              </w:rPr>
            </w:pPr>
            <w:r w:rsidRPr="00821ADA">
              <w:rPr>
                <w:rFonts w:ascii="Times New Roman" w:hAnsi="Times New Roman" w:cs="Times New Roman"/>
                <w:i/>
                <w:sz w:val="20"/>
              </w:rPr>
              <w:t>Webserver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63"/>
              <w:rPr>
                <w:rFonts w:ascii="Times New Roman" w:hAnsi="Times New Roman" w:cs="Times New Roman"/>
                <w:i/>
                <w:sz w:val="20"/>
              </w:rPr>
            </w:pPr>
            <w:r w:rsidRPr="00821ADA">
              <w:rPr>
                <w:rFonts w:ascii="Times New Roman" w:hAnsi="Times New Roman" w:cs="Times New Roman"/>
                <w:i/>
                <w:sz w:val="20"/>
              </w:rPr>
              <w:t>Toxic/Non-Toxic</w:t>
            </w:r>
          </w:p>
        </w:tc>
      </w:tr>
      <w:tr w:rsidR="00B41E28" w:rsidRPr="00821ADA" w:rsidTr="00B41E28">
        <w:trPr>
          <w:trHeight w:val="347"/>
          <w:jc w:val="center"/>
        </w:trPr>
        <w:tc>
          <w:tcPr>
            <w:tcW w:w="900" w:type="dxa"/>
            <w:tcBorders>
              <w:top w:val="single" w:sz="4" w:space="0" w:color="000000"/>
            </w:tcBorders>
          </w:tcPr>
          <w:p w:rsidR="00B41E28" w:rsidRPr="00821ADA" w:rsidRDefault="00B41E28" w:rsidP="00821ADA">
            <w:pPr>
              <w:pStyle w:val="TableParagraph"/>
              <w:spacing w:line="231" w:lineRule="exact"/>
              <w:ind w:left="321" w:hanging="213"/>
              <w:rPr>
                <w:rFonts w:ascii="Times New Roman" w:hAnsi="Times New Roman" w:cs="Times New Roman"/>
                <w:sz w:val="20"/>
              </w:rPr>
            </w:pPr>
            <w:r w:rsidRPr="00821ADA">
              <w:rPr>
                <w:rFonts w:ascii="Times New Roman" w:hAnsi="Times New Roman" w:cs="Times New Roman"/>
                <w:w w:val="97"/>
                <w:sz w:val="20"/>
              </w:rPr>
              <w:t>1</w:t>
            </w:r>
          </w:p>
        </w:tc>
        <w:tc>
          <w:tcPr>
            <w:tcW w:w="2340" w:type="dxa"/>
            <w:tcBorders>
              <w:top w:val="single" w:sz="4" w:space="0" w:color="000000"/>
            </w:tcBorders>
          </w:tcPr>
          <w:p w:rsidR="00B41E28" w:rsidRPr="00821ADA" w:rsidRDefault="00B41E28" w:rsidP="00821ADA">
            <w:pPr>
              <w:pStyle w:val="TableParagraph"/>
              <w:spacing w:line="231" w:lineRule="exact"/>
              <w:ind w:left="406" w:right="590"/>
              <w:rPr>
                <w:rFonts w:ascii="Times New Roman" w:hAnsi="Times New Roman" w:cs="Times New Roman"/>
                <w:sz w:val="20"/>
              </w:rPr>
            </w:pPr>
            <w:r w:rsidRPr="00821ADA">
              <w:rPr>
                <w:rFonts w:ascii="Times New Roman" w:hAnsi="Times New Roman" w:cs="Times New Roman"/>
                <w:sz w:val="20"/>
              </w:rPr>
              <w:t>Caffeic</w:t>
            </w:r>
            <w:r w:rsidRPr="00821ADA">
              <w:rPr>
                <w:rFonts w:ascii="Times New Roman" w:hAnsi="Times New Roman" w:cs="Times New Roman"/>
                <w:spacing w:val="-4"/>
                <w:sz w:val="20"/>
              </w:rPr>
              <w:t xml:space="preserve"> </w:t>
            </w:r>
            <w:r w:rsidRPr="00821ADA">
              <w:rPr>
                <w:rFonts w:ascii="Times New Roman" w:hAnsi="Times New Roman" w:cs="Times New Roman"/>
                <w:sz w:val="20"/>
              </w:rPr>
              <w:t>acid</w:t>
            </w:r>
          </w:p>
        </w:tc>
        <w:tc>
          <w:tcPr>
            <w:tcW w:w="3510" w:type="dxa"/>
            <w:tcBorders>
              <w:top w:val="single" w:sz="4" w:space="0" w:color="000000"/>
              <w:bottom w:val="single" w:sz="6" w:space="0" w:color="000000"/>
            </w:tcBorders>
          </w:tcPr>
          <w:p w:rsidR="00B41E28" w:rsidRPr="00821ADA" w:rsidRDefault="00B41E28" w:rsidP="00821ADA">
            <w:pPr>
              <w:pStyle w:val="TableParagraph"/>
              <w:spacing w:line="231" w:lineRule="exact"/>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6" w:space="0" w:color="000000"/>
            </w:tcBorders>
          </w:tcPr>
          <w:p w:rsidR="00B41E28" w:rsidRPr="00821ADA" w:rsidRDefault="00B41E28" w:rsidP="00821ADA">
            <w:pPr>
              <w:pStyle w:val="TableParagraph"/>
              <w:spacing w:line="231" w:lineRule="exact"/>
              <w:ind w:left="601" w:right="563"/>
              <w:rPr>
                <w:rFonts w:ascii="Times New Roman" w:hAnsi="Times New Roman" w:cs="Times New Roman"/>
                <w:i/>
                <w:sz w:val="20"/>
              </w:rPr>
            </w:pPr>
            <w:r w:rsidRPr="00821ADA">
              <w:rPr>
                <w:rFonts w:ascii="Times New Roman" w:hAnsi="Times New Roman" w:cs="Times New Roman"/>
                <w:i/>
                <w:sz w:val="20"/>
              </w:rPr>
              <w:t>Toxic</w:t>
            </w:r>
          </w:p>
        </w:tc>
      </w:tr>
    </w:tbl>
    <w:p w:rsidR="0051620C" w:rsidRDefault="0051620C" w:rsidP="00821ADA">
      <w:pPr>
        <w:pStyle w:val="TableParagraph"/>
        <w:ind w:hanging="213"/>
        <w:rPr>
          <w:rFonts w:ascii="Times New Roman" w:hAnsi="Times New Roman" w:cs="Times New Roman"/>
          <w:sz w:val="20"/>
        </w:rPr>
        <w:sectPr w:rsidR="0051620C" w:rsidSect="00B41E28">
          <w:type w:val="continuous"/>
          <w:pgSz w:w="11907" w:h="16840" w:code="9"/>
          <w:pgMar w:top="1138" w:right="850" w:bottom="1138" w:left="850" w:header="1138" w:footer="1138" w:gutter="0"/>
          <w:pgNumType w:start="1"/>
          <w:cols w:space="720"/>
          <w:titlePg/>
          <w:docGrid w:linePitch="360"/>
        </w:sectPr>
      </w:pPr>
    </w:p>
    <w:tbl>
      <w:tblPr>
        <w:tblW w:w="0" w:type="auto"/>
        <w:jc w:val="center"/>
        <w:tblLayout w:type="fixed"/>
        <w:tblCellMar>
          <w:left w:w="0" w:type="dxa"/>
          <w:right w:w="0" w:type="dxa"/>
        </w:tblCellMar>
        <w:tblLook w:val="01E0" w:firstRow="1" w:lastRow="1" w:firstColumn="1" w:lastColumn="1" w:noHBand="0" w:noVBand="0"/>
      </w:tblPr>
      <w:tblGrid>
        <w:gridCol w:w="48"/>
        <w:gridCol w:w="852"/>
        <w:gridCol w:w="2340"/>
        <w:gridCol w:w="3510"/>
        <w:gridCol w:w="2880"/>
      </w:tblGrid>
      <w:tr w:rsidR="00B41E28" w:rsidRPr="00821ADA" w:rsidTr="00B41E28">
        <w:trPr>
          <w:trHeight w:val="350"/>
          <w:jc w:val="center"/>
        </w:trPr>
        <w:tc>
          <w:tcPr>
            <w:tcW w:w="900" w:type="dxa"/>
            <w:gridSpan w:val="2"/>
            <w:tcBorders>
              <w:bottom w:val="single" w:sz="4" w:space="0" w:color="000000"/>
            </w:tcBorders>
          </w:tcPr>
          <w:p w:rsidR="00B41E28" w:rsidRPr="00821ADA" w:rsidRDefault="00B41E28" w:rsidP="00821ADA">
            <w:pPr>
              <w:pStyle w:val="TableParagraph"/>
              <w:ind w:hanging="213"/>
              <w:rPr>
                <w:rFonts w:ascii="Times New Roman" w:hAnsi="Times New Roman" w:cs="Times New Roman"/>
                <w:sz w:val="20"/>
              </w:rPr>
            </w:pPr>
          </w:p>
        </w:tc>
        <w:tc>
          <w:tcPr>
            <w:tcW w:w="2340" w:type="dxa"/>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6" w:space="0" w:color="000000"/>
              <w:bottom w:val="single" w:sz="4" w:space="0" w:color="000000"/>
            </w:tcBorders>
          </w:tcPr>
          <w:p w:rsidR="00B41E28" w:rsidRPr="00821ADA" w:rsidRDefault="00B41E28" w:rsidP="00821ADA">
            <w:pPr>
              <w:pStyle w:val="TableParagraph"/>
              <w:spacing w:line="232"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6" w:space="0" w:color="000000"/>
              <w:bottom w:val="single" w:sz="4" w:space="0" w:color="000000"/>
            </w:tcBorders>
          </w:tcPr>
          <w:p w:rsidR="00B41E28" w:rsidRPr="00821ADA" w:rsidRDefault="00B41E28" w:rsidP="00821ADA">
            <w:pPr>
              <w:pStyle w:val="TableParagraph"/>
              <w:spacing w:line="232" w:lineRule="exact"/>
              <w:ind w:left="601" w:right="561"/>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5"/>
                <w:sz w:val="20"/>
              </w:rPr>
              <w:t xml:space="preserve"> </w:t>
            </w:r>
            <w:r w:rsidRPr="00821ADA">
              <w:rPr>
                <w:rFonts w:ascii="Times New Roman" w:hAnsi="Times New Roman" w:cs="Times New Roman"/>
                <w:sz w:val="20"/>
              </w:rPr>
              <w:t>(V)</w:t>
            </w:r>
          </w:p>
        </w:tc>
      </w:tr>
      <w:tr w:rsidR="00B41E28" w:rsidRPr="00821ADA" w:rsidTr="00B41E28">
        <w:trPr>
          <w:trHeight w:val="350"/>
          <w:jc w:val="center"/>
        </w:trPr>
        <w:tc>
          <w:tcPr>
            <w:tcW w:w="900" w:type="dxa"/>
            <w:gridSpan w:val="2"/>
            <w:tcBorders>
              <w:top w:val="single" w:sz="4" w:space="0" w:color="000000"/>
            </w:tcBorders>
          </w:tcPr>
          <w:p w:rsidR="00B41E28" w:rsidRPr="00821ADA" w:rsidRDefault="00B41E28" w:rsidP="00821ADA">
            <w:pPr>
              <w:pStyle w:val="TableParagraph"/>
              <w:spacing w:line="234" w:lineRule="exact"/>
              <w:ind w:left="321" w:hanging="213"/>
              <w:rPr>
                <w:rFonts w:ascii="Times New Roman" w:hAnsi="Times New Roman" w:cs="Times New Roman"/>
                <w:sz w:val="20"/>
              </w:rPr>
            </w:pPr>
            <w:r w:rsidRPr="00821ADA">
              <w:rPr>
                <w:rFonts w:ascii="Times New Roman" w:hAnsi="Times New Roman" w:cs="Times New Roman"/>
                <w:w w:val="97"/>
                <w:sz w:val="20"/>
              </w:rPr>
              <w:t>2</w:t>
            </w:r>
          </w:p>
        </w:tc>
        <w:tc>
          <w:tcPr>
            <w:tcW w:w="2340" w:type="dxa"/>
            <w:tcBorders>
              <w:top w:val="single" w:sz="4" w:space="0" w:color="000000"/>
            </w:tcBorders>
          </w:tcPr>
          <w:p w:rsidR="00B41E28" w:rsidRPr="00821ADA" w:rsidRDefault="00B41E28" w:rsidP="00821ADA">
            <w:pPr>
              <w:pStyle w:val="TableParagraph"/>
              <w:spacing w:line="234" w:lineRule="exact"/>
              <w:ind w:left="406" w:right="593"/>
              <w:rPr>
                <w:rFonts w:ascii="Times New Roman" w:hAnsi="Times New Roman" w:cs="Times New Roman"/>
                <w:sz w:val="20"/>
              </w:rPr>
            </w:pPr>
            <w:r w:rsidRPr="00821ADA">
              <w:rPr>
                <w:rFonts w:ascii="Times New Roman" w:hAnsi="Times New Roman" w:cs="Times New Roman"/>
                <w:sz w:val="20"/>
              </w:rPr>
              <w:t>Cinnamic</w:t>
            </w:r>
            <w:r w:rsidRPr="00821ADA">
              <w:rPr>
                <w:rFonts w:ascii="Times New Roman" w:hAnsi="Times New Roman" w:cs="Times New Roman"/>
                <w:spacing w:val="-5"/>
                <w:sz w:val="20"/>
              </w:rPr>
              <w:t xml:space="preserve"> </w:t>
            </w:r>
            <w:r w:rsidRPr="00821ADA">
              <w:rPr>
                <w:rFonts w:ascii="Times New Roman" w:hAnsi="Times New Roman" w:cs="Times New Roman"/>
                <w:sz w:val="20"/>
              </w:rPr>
              <w:t>acid</w:t>
            </w: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601" w:right="563"/>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trHeight w:val="352"/>
          <w:jc w:val="center"/>
        </w:trPr>
        <w:tc>
          <w:tcPr>
            <w:tcW w:w="900" w:type="dxa"/>
            <w:gridSpan w:val="2"/>
            <w:tcBorders>
              <w:bottom w:val="single" w:sz="4" w:space="0" w:color="000000"/>
            </w:tcBorders>
          </w:tcPr>
          <w:p w:rsidR="00B41E28" w:rsidRPr="00821ADA" w:rsidRDefault="00B41E28" w:rsidP="00821ADA">
            <w:pPr>
              <w:pStyle w:val="TableParagraph"/>
              <w:ind w:hanging="213"/>
              <w:rPr>
                <w:rFonts w:ascii="Times New Roman" w:hAnsi="Times New Roman" w:cs="Times New Roman"/>
                <w:sz w:val="20"/>
              </w:rPr>
            </w:pPr>
          </w:p>
        </w:tc>
        <w:tc>
          <w:tcPr>
            <w:tcW w:w="2340" w:type="dxa"/>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601" w:right="561"/>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5"/>
                <w:sz w:val="20"/>
              </w:rPr>
              <w:t xml:space="preserve"> </w:t>
            </w:r>
            <w:r w:rsidRPr="00821ADA">
              <w:rPr>
                <w:rFonts w:ascii="Times New Roman" w:hAnsi="Times New Roman" w:cs="Times New Roman"/>
                <w:sz w:val="20"/>
              </w:rPr>
              <w:t>(V)</w:t>
            </w:r>
          </w:p>
        </w:tc>
      </w:tr>
      <w:tr w:rsidR="00B41E28" w:rsidRPr="00821ADA" w:rsidTr="00B41E28">
        <w:trPr>
          <w:trHeight w:val="352"/>
          <w:jc w:val="center"/>
        </w:trPr>
        <w:tc>
          <w:tcPr>
            <w:tcW w:w="900" w:type="dxa"/>
            <w:gridSpan w:val="2"/>
            <w:tcBorders>
              <w:top w:val="single" w:sz="4" w:space="0" w:color="000000"/>
            </w:tcBorders>
          </w:tcPr>
          <w:p w:rsidR="00B41E28" w:rsidRPr="00821ADA" w:rsidRDefault="00B41E28" w:rsidP="00821ADA">
            <w:pPr>
              <w:pStyle w:val="TableParagraph"/>
              <w:spacing w:line="231" w:lineRule="exact"/>
              <w:ind w:left="321" w:hanging="213"/>
              <w:rPr>
                <w:rFonts w:ascii="Times New Roman" w:hAnsi="Times New Roman" w:cs="Times New Roman"/>
                <w:sz w:val="20"/>
              </w:rPr>
            </w:pPr>
            <w:r w:rsidRPr="00821ADA">
              <w:rPr>
                <w:rFonts w:ascii="Times New Roman" w:hAnsi="Times New Roman" w:cs="Times New Roman"/>
                <w:w w:val="97"/>
                <w:sz w:val="20"/>
              </w:rPr>
              <w:t>3</w:t>
            </w:r>
          </w:p>
        </w:tc>
        <w:tc>
          <w:tcPr>
            <w:tcW w:w="2340" w:type="dxa"/>
            <w:tcBorders>
              <w:top w:val="single" w:sz="4" w:space="0" w:color="000000"/>
            </w:tcBorders>
          </w:tcPr>
          <w:p w:rsidR="00B41E28" w:rsidRPr="00821ADA" w:rsidRDefault="00B41E28" w:rsidP="00821ADA">
            <w:pPr>
              <w:pStyle w:val="TableParagraph"/>
              <w:spacing w:line="231" w:lineRule="exact"/>
              <w:ind w:left="406" w:right="585"/>
              <w:rPr>
                <w:rFonts w:ascii="Times New Roman" w:hAnsi="Times New Roman" w:cs="Times New Roman"/>
                <w:sz w:val="20"/>
              </w:rPr>
            </w:pPr>
            <w:r w:rsidRPr="00821ADA">
              <w:rPr>
                <w:rFonts w:ascii="Times New Roman" w:hAnsi="Times New Roman" w:cs="Times New Roman"/>
                <w:sz w:val="20"/>
              </w:rPr>
              <w:t>Ellagic</w:t>
            </w:r>
            <w:r w:rsidRPr="00821ADA">
              <w:rPr>
                <w:rFonts w:ascii="Times New Roman" w:hAnsi="Times New Roman" w:cs="Times New Roman"/>
                <w:spacing w:val="-7"/>
                <w:sz w:val="20"/>
              </w:rPr>
              <w:t xml:space="preserve"> </w:t>
            </w:r>
            <w:r w:rsidRPr="00821ADA">
              <w:rPr>
                <w:rFonts w:ascii="Times New Roman" w:hAnsi="Times New Roman" w:cs="Times New Roman"/>
                <w:sz w:val="20"/>
              </w:rPr>
              <w:t>acid</w:t>
            </w: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63"/>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trHeight w:val="352"/>
          <w:jc w:val="center"/>
        </w:trPr>
        <w:tc>
          <w:tcPr>
            <w:tcW w:w="900" w:type="dxa"/>
            <w:gridSpan w:val="2"/>
            <w:tcBorders>
              <w:bottom w:val="single" w:sz="4" w:space="0" w:color="000000"/>
            </w:tcBorders>
          </w:tcPr>
          <w:p w:rsidR="00B41E28" w:rsidRPr="00821ADA" w:rsidRDefault="00B41E28" w:rsidP="00821ADA">
            <w:pPr>
              <w:pStyle w:val="TableParagraph"/>
              <w:ind w:hanging="213"/>
              <w:rPr>
                <w:rFonts w:ascii="Times New Roman" w:hAnsi="Times New Roman" w:cs="Times New Roman"/>
                <w:sz w:val="20"/>
              </w:rPr>
            </w:pPr>
          </w:p>
        </w:tc>
        <w:tc>
          <w:tcPr>
            <w:tcW w:w="2340" w:type="dxa"/>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59"/>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6"/>
                <w:sz w:val="20"/>
              </w:rPr>
              <w:t xml:space="preserve"> </w:t>
            </w:r>
            <w:r w:rsidRPr="00821ADA">
              <w:rPr>
                <w:rFonts w:ascii="Times New Roman" w:hAnsi="Times New Roman" w:cs="Times New Roman"/>
                <w:sz w:val="20"/>
              </w:rPr>
              <w:t>(IV)</w:t>
            </w:r>
          </w:p>
        </w:tc>
      </w:tr>
      <w:tr w:rsidR="00B41E28" w:rsidRPr="00821ADA" w:rsidTr="00B41E28">
        <w:trPr>
          <w:trHeight w:val="350"/>
          <w:jc w:val="center"/>
        </w:trPr>
        <w:tc>
          <w:tcPr>
            <w:tcW w:w="900" w:type="dxa"/>
            <w:gridSpan w:val="2"/>
            <w:tcBorders>
              <w:top w:val="single" w:sz="4" w:space="0" w:color="000000"/>
            </w:tcBorders>
          </w:tcPr>
          <w:p w:rsidR="00B41E28" w:rsidRPr="00821ADA" w:rsidRDefault="00B41E28" w:rsidP="00821ADA">
            <w:pPr>
              <w:pStyle w:val="TableParagraph"/>
              <w:spacing w:line="231" w:lineRule="exact"/>
              <w:ind w:left="321" w:hanging="213"/>
              <w:rPr>
                <w:rFonts w:ascii="Times New Roman" w:hAnsi="Times New Roman" w:cs="Times New Roman"/>
                <w:sz w:val="20"/>
              </w:rPr>
            </w:pPr>
            <w:r w:rsidRPr="00821ADA">
              <w:rPr>
                <w:rFonts w:ascii="Times New Roman" w:hAnsi="Times New Roman" w:cs="Times New Roman"/>
                <w:w w:val="97"/>
                <w:sz w:val="20"/>
              </w:rPr>
              <w:t>4</w:t>
            </w:r>
          </w:p>
        </w:tc>
        <w:tc>
          <w:tcPr>
            <w:tcW w:w="2340" w:type="dxa"/>
            <w:tcBorders>
              <w:top w:val="single" w:sz="4" w:space="0" w:color="000000"/>
            </w:tcBorders>
          </w:tcPr>
          <w:p w:rsidR="00B41E28" w:rsidRPr="00821ADA" w:rsidRDefault="00B41E28" w:rsidP="00821ADA">
            <w:pPr>
              <w:pStyle w:val="TableParagraph"/>
              <w:spacing w:line="231" w:lineRule="exact"/>
              <w:ind w:left="399" w:right="593"/>
              <w:rPr>
                <w:rFonts w:ascii="Times New Roman" w:hAnsi="Times New Roman" w:cs="Times New Roman"/>
                <w:sz w:val="20"/>
              </w:rPr>
            </w:pPr>
            <w:r w:rsidRPr="00821ADA">
              <w:rPr>
                <w:rFonts w:ascii="Times New Roman" w:hAnsi="Times New Roman" w:cs="Times New Roman"/>
                <w:sz w:val="20"/>
              </w:rPr>
              <w:t>Eriodictyol</w:t>
            </w: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63"/>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trHeight w:val="352"/>
          <w:jc w:val="center"/>
        </w:trPr>
        <w:tc>
          <w:tcPr>
            <w:tcW w:w="900" w:type="dxa"/>
            <w:gridSpan w:val="2"/>
            <w:tcBorders>
              <w:bottom w:val="single" w:sz="4" w:space="0" w:color="000000"/>
            </w:tcBorders>
          </w:tcPr>
          <w:p w:rsidR="00B41E28" w:rsidRPr="00821ADA" w:rsidRDefault="00B41E28" w:rsidP="00821ADA">
            <w:pPr>
              <w:pStyle w:val="TableParagraph"/>
              <w:ind w:hanging="213"/>
              <w:rPr>
                <w:rFonts w:ascii="Times New Roman" w:hAnsi="Times New Roman" w:cs="Times New Roman"/>
                <w:sz w:val="20"/>
              </w:rPr>
            </w:pPr>
          </w:p>
        </w:tc>
        <w:tc>
          <w:tcPr>
            <w:tcW w:w="2340" w:type="dxa"/>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59"/>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6"/>
                <w:sz w:val="20"/>
              </w:rPr>
              <w:t xml:space="preserve"> </w:t>
            </w:r>
            <w:r w:rsidRPr="00821ADA">
              <w:rPr>
                <w:rFonts w:ascii="Times New Roman" w:hAnsi="Times New Roman" w:cs="Times New Roman"/>
                <w:sz w:val="20"/>
              </w:rPr>
              <w:t>(IV)</w:t>
            </w:r>
          </w:p>
        </w:tc>
      </w:tr>
      <w:tr w:rsidR="00B41E28" w:rsidRPr="00821ADA" w:rsidTr="00B41E28">
        <w:trPr>
          <w:trHeight w:val="350"/>
          <w:jc w:val="center"/>
        </w:trPr>
        <w:tc>
          <w:tcPr>
            <w:tcW w:w="900" w:type="dxa"/>
            <w:gridSpan w:val="2"/>
            <w:tcBorders>
              <w:top w:val="single" w:sz="4" w:space="0" w:color="000000"/>
            </w:tcBorders>
          </w:tcPr>
          <w:p w:rsidR="00B41E28" w:rsidRPr="00821ADA" w:rsidRDefault="00B41E28" w:rsidP="00821ADA">
            <w:pPr>
              <w:pStyle w:val="TableParagraph"/>
              <w:spacing w:line="231" w:lineRule="exact"/>
              <w:ind w:left="321" w:hanging="213"/>
              <w:rPr>
                <w:rFonts w:ascii="Times New Roman" w:hAnsi="Times New Roman" w:cs="Times New Roman"/>
                <w:sz w:val="20"/>
              </w:rPr>
            </w:pPr>
            <w:r w:rsidRPr="00821ADA">
              <w:rPr>
                <w:rFonts w:ascii="Times New Roman" w:hAnsi="Times New Roman" w:cs="Times New Roman"/>
                <w:w w:val="97"/>
                <w:sz w:val="20"/>
              </w:rPr>
              <w:t>5</w:t>
            </w:r>
          </w:p>
        </w:tc>
        <w:tc>
          <w:tcPr>
            <w:tcW w:w="2340" w:type="dxa"/>
            <w:tcBorders>
              <w:top w:val="single" w:sz="4" w:space="0" w:color="000000"/>
            </w:tcBorders>
          </w:tcPr>
          <w:p w:rsidR="00B41E28" w:rsidRPr="00821ADA" w:rsidRDefault="00B41E28" w:rsidP="00821ADA">
            <w:pPr>
              <w:pStyle w:val="TableParagraph"/>
              <w:spacing w:line="231" w:lineRule="exact"/>
              <w:ind w:left="406" w:right="585"/>
              <w:rPr>
                <w:rFonts w:ascii="Times New Roman" w:hAnsi="Times New Roman" w:cs="Times New Roman"/>
                <w:sz w:val="20"/>
              </w:rPr>
            </w:pPr>
            <w:r w:rsidRPr="00821ADA">
              <w:rPr>
                <w:rFonts w:ascii="Times New Roman" w:hAnsi="Times New Roman" w:cs="Times New Roman"/>
                <w:sz w:val="20"/>
              </w:rPr>
              <w:t>Ferulic</w:t>
            </w:r>
            <w:r w:rsidRPr="00821ADA">
              <w:rPr>
                <w:rFonts w:ascii="Times New Roman" w:hAnsi="Times New Roman" w:cs="Times New Roman"/>
                <w:spacing w:val="-4"/>
                <w:sz w:val="20"/>
              </w:rPr>
              <w:t xml:space="preserve"> </w:t>
            </w:r>
            <w:r w:rsidRPr="00821ADA">
              <w:rPr>
                <w:rFonts w:ascii="Times New Roman" w:hAnsi="Times New Roman" w:cs="Times New Roman"/>
                <w:sz w:val="20"/>
              </w:rPr>
              <w:t>acid</w:t>
            </w: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63"/>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trHeight w:val="350"/>
          <w:jc w:val="center"/>
        </w:trPr>
        <w:tc>
          <w:tcPr>
            <w:tcW w:w="900" w:type="dxa"/>
            <w:gridSpan w:val="2"/>
            <w:tcBorders>
              <w:bottom w:val="single" w:sz="4" w:space="0" w:color="000000"/>
            </w:tcBorders>
          </w:tcPr>
          <w:p w:rsidR="00B41E28" w:rsidRPr="00821ADA" w:rsidRDefault="00B41E28" w:rsidP="00821ADA">
            <w:pPr>
              <w:pStyle w:val="TableParagraph"/>
              <w:ind w:hanging="213"/>
              <w:rPr>
                <w:rFonts w:ascii="Times New Roman" w:hAnsi="Times New Roman" w:cs="Times New Roman"/>
                <w:sz w:val="20"/>
              </w:rPr>
            </w:pPr>
          </w:p>
        </w:tc>
        <w:tc>
          <w:tcPr>
            <w:tcW w:w="2340" w:type="dxa"/>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601" w:right="559"/>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6"/>
                <w:sz w:val="20"/>
              </w:rPr>
              <w:t xml:space="preserve"> </w:t>
            </w:r>
            <w:r w:rsidRPr="00821ADA">
              <w:rPr>
                <w:rFonts w:ascii="Times New Roman" w:hAnsi="Times New Roman" w:cs="Times New Roman"/>
                <w:sz w:val="20"/>
              </w:rPr>
              <w:t>(IV)</w:t>
            </w:r>
          </w:p>
        </w:tc>
      </w:tr>
      <w:tr w:rsidR="00B41E28" w:rsidRPr="00821ADA" w:rsidTr="00B41E28">
        <w:trPr>
          <w:trHeight w:val="352"/>
          <w:jc w:val="center"/>
        </w:trPr>
        <w:tc>
          <w:tcPr>
            <w:tcW w:w="900" w:type="dxa"/>
            <w:gridSpan w:val="2"/>
            <w:tcBorders>
              <w:top w:val="single" w:sz="4" w:space="0" w:color="000000"/>
            </w:tcBorders>
          </w:tcPr>
          <w:p w:rsidR="00B41E28" w:rsidRPr="00821ADA" w:rsidRDefault="00B41E28" w:rsidP="00821ADA">
            <w:pPr>
              <w:pStyle w:val="TableParagraph"/>
              <w:spacing w:before="1"/>
              <w:ind w:left="321" w:hanging="213"/>
              <w:rPr>
                <w:rFonts w:ascii="Times New Roman" w:hAnsi="Times New Roman" w:cs="Times New Roman"/>
                <w:sz w:val="20"/>
              </w:rPr>
            </w:pPr>
            <w:r w:rsidRPr="00821ADA">
              <w:rPr>
                <w:rFonts w:ascii="Times New Roman" w:hAnsi="Times New Roman" w:cs="Times New Roman"/>
                <w:w w:val="97"/>
                <w:sz w:val="20"/>
              </w:rPr>
              <w:t>6</w:t>
            </w:r>
          </w:p>
        </w:tc>
        <w:tc>
          <w:tcPr>
            <w:tcW w:w="2340" w:type="dxa"/>
            <w:tcBorders>
              <w:top w:val="single" w:sz="4" w:space="0" w:color="000000"/>
            </w:tcBorders>
          </w:tcPr>
          <w:p w:rsidR="00B41E28" w:rsidRPr="00821ADA" w:rsidRDefault="00B41E28" w:rsidP="00821ADA">
            <w:pPr>
              <w:pStyle w:val="TableParagraph"/>
              <w:spacing w:before="1"/>
              <w:ind w:left="406" w:right="588"/>
              <w:rPr>
                <w:rFonts w:ascii="Times New Roman" w:hAnsi="Times New Roman" w:cs="Times New Roman"/>
                <w:sz w:val="20"/>
              </w:rPr>
            </w:pPr>
            <w:r w:rsidRPr="00821ADA">
              <w:rPr>
                <w:rFonts w:ascii="Times New Roman" w:hAnsi="Times New Roman" w:cs="Times New Roman"/>
                <w:sz w:val="20"/>
              </w:rPr>
              <w:t>Flavan-3-ols</w:t>
            </w:r>
          </w:p>
        </w:tc>
        <w:tc>
          <w:tcPr>
            <w:tcW w:w="3510" w:type="dxa"/>
            <w:tcBorders>
              <w:top w:val="single" w:sz="4" w:space="0" w:color="000000"/>
              <w:bottom w:val="single" w:sz="4" w:space="0" w:color="000000"/>
            </w:tcBorders>
          </w:tcPr>
          <w:p w:rsidR="00B41E28" w:rsidRPr="00821ADA" w:rsidRDefault="00B41E28" w:rsidP="00821ADA">
            <w:pPr>
              <w:pStyle w:val="TableParagraph"/>
              <w:spacing w:before="1"/>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before="1"/>
              <w:ind w:left="601" w:right="563"/>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trHeight w:val="352"/>
          <w:jc w:val="center"/>
        </w:trPr>
        <w:tc>
          <w:tcPr>
            <w:tcW w:w="900" w:type="dxa"/>
            <w:gridSpan w:val="2"/>
            <w:tcBorders>
              <w:bottom w:val="single" w:sz="4" w:space="0" w:color="000000"/>
            </w:tcBorders>
          </w:tcPr>
          <w:p w:rsidR="00B41E28" w:rsidRPr="00821ADA" w:rsidRDefault="00B41E28" w:rsidP="00821ADA">
            <w:pPr>
              <w:pStyle w:val="TableParagraph"/>
              <w:ind w:hanging="213"/>
              <w:rPr>
                <w:rFonts w:ascii="Times New Roman" w:hAnsi="Times New Roman" w:cs="Times New Roman"/>
                <w:sz w:val="20"/>
              </w:rPr>
            </w:pPr>
          </w:p>
        </w:tc>
        <w:tc>
          <w:tcPr>
            <w:tcW w:w="2340" w:type="dxa"/>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61"/>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5"/>
                <w:sz w:val="20"/>
              </w:rPr>
              <w:t xml:space="preserve"> </w:t>
            </w:r>
            <w:r w:rsidRPr="00821ADA">
              <w:rPr>
                <w:rFonts w:ascii="Times New Roman" w:hAnsi="Times New Roman" w:cs="Times New Roman"/>
                <w:sz w:val="20"/>
              </w:rPr>
              <w:t>(V)</w:t>
            </w:r>
          </w:p>
        </w:tc>
      </w:tr>
      <w:tr w:rsidR="00B41E28" w:rsidRPr="00821ADA" w:rsidTr="00B41E28">
        <w:trPr>
          <w:trHeight w:val="352"/>
          <w:jc w:val="center"/>
        </w:trPr>
        <w:tc>
          <w:tcPr>
            <w:tcW w:w="900" w:type="dxa"/>
            <w:gridSpan w:val="2"/>
            <w:tcBorders>
              <w:top w:val="single" w:sz="4" w:space="0" w:color="000000"/>
            </w:tcBorders>
          </w:tcPr>
          <w:p w:rsidR="00B41E28" w:rsidRPr="00821ADA" w:rsidRDefault="00B41E28" w:rsidP="00821ADA">
            <w:pPr>
              <w:pStyle w:val="TableParagraph"/>
              <w:spacing w:line="231" w:lineRule="exact"/>
              <w:ind w:left="321" w:hanging="213"/>
              <w:rPr>
                <w:rFonts w:ascii="Times New Roman" w:hAnsi="Times New Roman" w:cs="Times New Roman"/>
                <w:sz w:val="20"/>
              </w:rPr>
            </w:pPr>
            <w:r w:rsidRPr="00821ADA">
              <w:rPr>
                <w:rFonts w:ascii="Times New Roman" w:hAnsi="Times New Roman" w:cs="Times New Roman"/>
                <w:w w:val="97"/>
                <w:sz w:val="20"/>
              </w:rPr>
              <w:t>7</w:t>
            </w:r>
          </w:p>
        </w:tc>
        <w:tc>
          <w:tcPr>
            <w:tcW w:w="2340" w:type="dxa"/>
            <w:tcBorders>
              <w:top w:val="single" w:sz="4" w:space="0" w:color="000000"/>
            </w:tcBorders>
          </w:tcPr>
          <w:p w:rsidR="00B41E28" w:rsidRPr="00821ADA" w:rsidRDefault="00B41E28" w:rsidP="00821ADA">
            <w:pPr>
              <w:pStyle w:val="TableParagraph"/>
              <w:spacing w:line="231" w:lineRule="exact"/>
              <w:ind w:left="406" w:right="587"/>
              <w:rPr>
                <w:rFonts w:ascii="Times New Roman" w:hAnsi="Times New Roman" w:cs="Times New Roman"/>
                <w:sz w:val="20"/>
              </w:rPr>
            </w:pPr>
            <w:r w:rsidRPr="00821ADA">
              <w:rPr>
                <w:rFonts w:ascii="Times New Roman" w:hAnsi="Times New Roman" w:cs="Times New Roman"/>
                <w:sz w:val="20"/>
              </w:rPr>
              <w:t>Luteolin</w:t>
            </w: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6" w:right="605"/>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601" w:right="563"/>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trHeight w:val="231"/>
          <w:jc w:val="center"/>
        </w:trPr>
        <w:tc>
          <w:tcPr>
            <w:tcW w:w="900" w:type="dxa"/>
            <w:gridSpan w:val="2"/>
            <w:tcBorders>
              <w:bottom w:val="single" w:sz="4" w:space="0" w:color="auto"/>
            </w:tcBorders>
          </w:tcPr>
          <w:p w:rsidR="00B41E28" w:rsidRPr="00821ADA" w:rsidRDefault="00B41E28" w:rsidP="00821ADA">
            <w:pPr>
              <w:pStyle w:val="TableParagraph"/>
              <w:jc w:val="left"/>
              <w:rPr>
                <w:rFonts w:ascii="Times New Roman" w:hAnsi="Times New Roman" w:cs="Times New Roman"/>
                <w:sz w:val="16"/>
              </w:rPr>
            </w:pPr>
          </w:p>
        </w:tc>
        <w:tc>
          <w:tcPr>
            <w:tcW w:w="2340" w:type="dxa"/>
            <w:tcBorders>
              <w:bottom w:val="single" w:sz="4" w:space="0" w:color="auto"/>
            </w:tcBorders>
          </w:tcPr>
          <w:p w:rsidR="00B41E28" w:rsidRPr="00821ADA" w:rsidRDefault="00B41E28" w:rsidP="00821ADA">
            <w:pPr>
              <w:pStyle w:val="TableParagraph"/>
              <w:jc w:val="left"/>
              <w:rPr>
                <w:rFonts w:ascii="Times New Roman" w:hAnsi="Times New Roman" w:cs="Times New Roman"/>
                <w:sz w:val="16"/>
              </w:rPr>
            </w:pPr>
          </w:p>
        </w:tc>
        <w:tc>
          <w:tcPr>
            <w:tcW w:w="3510" w:type="dxa"/>
            <w:tcBorders>
              <w:top w:val="single" w:sz="4" w:space="0" w:color="000000"/>
              <w:bottom w:val="single" w:sz="4" w:space="0" w:color="auto"/>
            </w:tcBorders>
          </w:tcPr>
          <w:p w:rsidR="00B41E28" w:rsidRPr="00821ADA" w:rsidRDefault="00B41E28" w:rsidP="00821ADA">
            <w:pPr>
              <w:pStyle w:val="TableParagraph"/>
              <w:spacing w:line="211" w:lineRule="exact"/>
              <w:ind w:left="636" w:right="602"/>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left w:val="nil"/>
              <w:bottom w:val="single" w:sz="4" w:space="0" w:color="auto"/>
            </w:tcBorders>
          </w:tcPr>
          <w:p w:rsidR="00B41E28" w:rsidRPr="00821ADA" w:rsidRDefault="00B41E28" w:rsidP="00821ADA">
            <w:pPr>
              <w:pStyle w:val="TableParagraph"/>
              <w:spacing w:line="211" w:lineRule="exact"/>
              <w:ind w:left="601" w:right="561"/>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5"/>
                <w:sz w:val="20"/>
              </w:rPr>
              <w:t xml:space="preserve"> </w:t>
            </w:r>
            <w:r w:rsidRPr="00821ADA">
              <w:rPr>
                <w:rFonts w:ascii="Times New Roman" w:hAnsi="Times New Roman" w:cs="Times New Roman"/>
                <w:sz w:val="20"/>
              </w:rPr>
              <w:t>(V)</w:t>
            </w:r>
          </w:p>
        </w:tc>
      </w:tr>
      <w:tr w:rsidR="00B41E28" w:rsidRPr="00821ADA" w:rsidTr="00B41E28">
        <w:trPr>
          <w:trHeight w:val="231"/>
          <w:jc w:val="center"/>
        </w:trPr>
        <w:tc>
          <w:tcPr>
            <w:tcW w:w="900" w:type="dxa"/>
            <w:gridSpan w:val="2"/>
            <w:vMerge w:val="restart"/>
            <w:tcBorders>
              <w:top w:val="single" w:sz="4" w:space="0" w:color="auto"/>
              <w:bottom w:val="single" w:sz="4" w:space="0" w:color="auto"/>
            </w:tcBorders>
          </w:tcPr>
          <w:p w:rsidR="00B41E28" w:rsidRPr="00821ADA" w:rsidRDefault="00B41E28" w:rsidP="00821ADA">
            <w:pPr>
              <w:pStyle w:val="TableParagraph"/>
              <w:rPr>
                <w:rFonts w:ascii="Times New Roman" w:hAnsi="Times New Roman" w:cs="Times New Roman"/>
              </w:rPr>
            </w:pPr>
            <w:r w:rsidRPr="00821ADA">
              <w:rPr>
                <w:rFonts w:ascii="Times New Roman" w:hAnsi="Times New Roman" w:cs="Times New Roman"/>
              </w:rPr>
              <w:t xml:space="preserve"> 8</w:t>
            </w:r>
          </w:p>
        </w:tc>
        <w:tc>
          <w:tcPr>
            <w:tcW w:w="2340" w:type="dxa"/>
            <w:vMerge w:val="restart"/>
            <w:tcBorders>
              <w:top w:val="single" w:sz="4" w:space="0" w:color="auto"/>
              <w:left w:val="nil"/>
              <w:bottom w:val="single" w:sz="4" w:space="0" w:color="auto"/>
            </w:tcBorders>
          </w:tcPr>
          <w:p w:rsidR="00B41E28" w:rsidRPr="00821ADA" w:rsidRDefault="00B41E28" w:rsidP="00821ADA">
            <w:pPr>
              <w:pStyle w:val="TableParagraph"/>
              <w:rPr>
                <w:rFonts w:ascii="Times New Roman" w:hAnsi="Times New Roman" w:cs="Times New Roman"/>
              </w:rPr>
            </w:pPr>
            <w:r w:rsidRPr="00821ADA">
              <w:rPr>
                <w:rFonts w:ascii="Times New Roman" w:hAnsi="Times New Roman" w:cs="Times New Roman"/>
              </w:rPr>
              <w:t>Naringenin</w:t>
            </w:r>
          </w:p>
        </w:tc>
        <w:tc>
          <w:tcPr>
            <w:tcW w:w="3510" w:type="dxa"/>
            <w:tcBorders>
              <w:top w:val="single" w:sz="4" w:space="0" w:color="auto"/>
              <w:left w:val="nil"/>
              <w:bottom w:val="single" w:sz="4" w:space="0" w:color="auto"/>
            </w:tcBorders>
          </w:tcPr>
          <w:p w:rsidR="00B41E28" w:rsidRPr="00821ADA" w:rsidRDefault="00B41E28" w:rsidP="00821ADA">
            <w:pPr>
              <w:pStyle w:val="TableParagraph"/>
              <w:spacing w:line="211" w:lineRule="exact"/>
              <w:ind w:left="636" w:right="602"/>
              <w:rPr>
                <w:rFonts w:ascii="Times New Roman" w:hAnsi="Times New Roman" w:cs="Times New Roman"/>
              </w:rPr>
            </w:pPr>
            <w:r w:rsidRPr="00821ADA">
              <w:rPr>
                <w:rFonts w:ascii="Times New Roman" w:hAnsi="Times New Roman" w:cs="Times New Roman"/>
                <w:i/>
              </w:rPr>
              <w:t>Toxicity</w:t>
            </w:r>
            <w:r w:rsidRPr="00821ADA">
              <w:rPr>
                <w:rFonts w:ascii="Times New Roman" w:hAnsi="Times New Roman" w:cs="Times New Roman"/>
                <w:i/>
                <w:spacing w:val="-10"/>
              </w:rPr>
              <w:t xml:space="preserve"> </w:t>
            </w:r>
            <w:r w:rsidRPr="00821ADA">
              <w:rPr>
                <w:rFonts w:ascii="Times New Roman" w:hAnsi="Times New Roman" w:cs="Times New Roman"/>
                <w:i/>
              </w:rPr>
              <w:t>Checker</w:t>
            </w:r>
          </w:p>
        </w:tc>
        <w:tc>
          <w:tcPr>
            <w:tcW w:w="2880" w:type="dxa"/>
            <w:tcBorders>
              <w:top w:val="single" w:sz="4" w:space="0" w:color="auto"/>
              <w:left w:val="nil"/>
              <w:bottom w:val="single" w:sz="4" w:space="0" w:color="auto"/>
            </w:tcBorders>
          </w:tcPr>
          <w:p w:rsidR="00B41E28" w:rsidRPr="00821ADA" w:rsidRDefault="00B41E28" w:rsidP="00821ADA">
            <w:pPr>
              <w:pStyle w:val="TableParagraph"/>
              <w:spacing w:line="211" w:lineRule="exact"/>
              <w:ind w:left="601" w:right="561"/>
              <w:rPr>
                <w:rFonts w:ascii="Times New Roman" w:hAnsi="Times New Roman" w:cs="Times New Roman"/>
                <w:i/>
              </w:rPr>
            </w:pPr>
            <w:r w:rsidRPr="00821ADA">
              <w:rPr>
                <w:rFonts w:ascii="Times New Roman" w:hAnsi="Times New Roman" w:cs="Times New Roman"/>
                <w:i/>
              </w:rPr>
              <w:t>Non-Toxic</w:t>
            </w:r>
          </w:p>
        </w:tc>
      </w:tr>
      <w:tr w:rsidR="00B41E28" w:rsidRPr="00821ADA" w:rsidTr="00B41E28">
        <w:trPr>
          <w:trHeight w:val="231"/>
          <w:jc w:val="center"/>
        </w:trPr>
        <w:tc>
          <w:tcPr>
            <w:tcW w:w="900" w:type="dxa"/>
            <w:gridSpan w:val="2"/>
            <w:vMerge/>
            <w:tcBorders>
              <w:top w:val="single" w:sz="4" w:space="0" w:color="auto"/>
              <w:bottom w:val="single" w:sz="4" w:space="0" w:color="auto"/>
            </w:tcBorders>
          </w:tcPr>
          <w:p w:rsidR="00B41E28" w:rsidRPr="00821ADA" w:rsidRDefault="00B41E28" w:rsidP="00821ADA">
            <w:pPr>
              <w:pStyle w:val="TableParagraph"/>
              <w:jc w:val="left"/>
              <w:rPr>
                <w:rFonts w:ascii="Times New Roman" w:hAnsi="Times New Roman" w:cs="Times New Roman"/>
              </w:rPr>
            </w:pPr>
          </w:p>
        </w:tc>
        <w:tc>
          <w:tcPr>
            <w:tcW w:w="2340" w:type="dxa"/>
            <w:vMerge/>
            <w:tcBorders>
              <w:top w:val="single" w:sz="4" w:space="0" w:color="auto"/>
              <w:left w:val="nil"/>
              <w:bottom w:val="single" w:sz="4" w:space="0" w:color="auto"/>
            </w:tcBorders>
          </w:tcPr>
          <w:p w:rsidR="00B41E28" w:rsidRPr="00821ADA" w:rsidRDefault="00B41E28" w:rsidP="00821ADA">
            <w:pPr>
              <w:pStyle w:val="TableParagraph"/>
              <w:jc w:val="left"/>
              <w:rPr>
                <w:rFonts w:ascii="Times New Roman" w:hAnsi="Times New Roman" w:cs="Times New Roman"/>
              </w:rPr>
            </w:pPr>
          </w:p>
        </w:tc>
        <w:tc>
          <w:tcPr>
            <w:tcW w:w="3510" w:type="dxa"/>
            <w:tcBorders>
              <w:top w:val="single" w:sz="4" w:space="0" w:color="auto"/>
              <w:left w:val="nil"/>
              <w:bottom w:val="single" w:sz="4" w:space="0" w:color="auto"/>
            </w:tcBorders>
          </w:tcPr>
          <w:p w:rsidR="00B41E28" w:rsidRPr="00821ADA" w:rsidRDefault="00B41E28" w:rsidP="00821ADA">
            <w:pPr>
              <w:pStyle w:val="TableParagraph"/>
              <w:spacing w:line="211" w:lineRule="exact"/>
              <w:ind w:left="636" w:right="602"/>
              <w:rPr>
                <w:rFonts w:ascii="Times New Roman" w:hAnsi="Times New Roman" w:cs="Times New Roman"/>
              </w:rPr>
            </w:pPr>
            <w:r w:rsidRPr="00821ADA">
              <w:rPr>
                <w:rFonts w:ascii="Times New Roman" w:hAnsi="Times New Roman" w:cs="Times New Roman"/>
              </w:rPr>
              <w:t>Protox</w:t>
            </w:r>
            <w:r w:rsidRPr="00821ADA">
              <w:rPr>
                <w:rFonts w:ascii="Times New Roman" w:hAnsi="Times New Roman" w:cs="Times New Roman"/>
                <w:spacing w:val="-8"/>
              </w:rPr>
              <w:t xml:space="preserve"> </w:t>
            </w:r>
            <w:r w:rsidRPr="00821ADA">
              <w:rPr>
                <w:rFonts w:ascii="Times New Roman" w:hAnsi="Times New Roman" w:cs="Times New Roman"/>
              </w:rPr>
              <w:t>III</w:t>
            </w:r>
          </w:p>
        </w:tc>
        <w:tc>
          <w:tcPr>
            <w:tcW w:w="2880" w:type="dxa"/>
            <w:tcBorders>
              <w:top w:val="single" w:sz="4" w:space="0" w:color="auto"/>
              <w:left w:val="nil"/>
              <w:bottom w:val="single" w:sz="4" w:space="0" w:color="auto"/>
            </w:tcBorders>
          </w:tcPr>
          <w:p w:rsidR="00B41E28" w:rsidRPr="00821ADA" w:rsidRDefault="00B41E28" w:rsidP="00821ADA">
            <w:pPr>
              <w:pStyle w:val="TableParagraph"/>
              <w:spacing w:line="211" w:lineRule="exact"/>
              <w:ind w:left="601" w:right="561"/>
              <w:rPr>
                <w:rFonts w:ascii="Times New Roman" w:hAnsi="Times New Roman" w:cs="Times New Roman"/>
                <w:i/>
              </w:rPr>
            </w:pPr>
            <w:r w:rsidRPr="00821ADA">
              <w:rPr>
                <w:rFonts w:ascii="Times New Roman" w:hAnsi="Times New Roman" w:cs="Times New Roman"/>
                <w:i/>
              </w:rPr>
              <w:t>Toxic</w:t>
            </w:r>
            <w:r w:rsidRPr="00821ADA">
              <w:rPr>
                <w:rFonts w:ascii="Times New Roman" w:hAnsi="Times New Roman" w:cs="Times New Roman"/>
                <w:i/>
                <w:spacing w:val="-6"/>
              </w:rPr>
              <w:t xml:space="preserve"> </w:t>
            </w:r>
            <w:r w:rsidRPr="00821ADA">
              <w:rPr>
                <w:rFonts w:ascii="Times New Roman" w:hAnsi="Times New Roman" w:cs="Times New Roman"/>
              </w:rPr>
              <w:t>(IV)</w:t>
            </w:r>
          </w:p>
        </w:tc>
      </w:tr>
      <w:tr w:rsidR="00B41E28" w:rsidRPr="00821ADA" w:rsidTr="00B41E28">
        <w:trPr>
          <w:gridBefore w:val="1"/>
          <w:wBefore w:w="48" w:type="dxa"/>
          <w:trHeight w:val="352"/>
          <w:jc w:val="center"/>
        </w:trPr>
        <w:tc>
          <w:tcPr>
            <w:tcW w:w="3192" w:type="dxa"/>
            <w:gridSpan w:val="2"/>
          </w:tcPr>
          <w:p w:rsidR="00B41E28" w:rsidRPr="00821ADA" w:rsidRDefault="00B41E28" w:rsidP="00821ADA">
            <w:pPr>
              <w:pStyle w:val="TableParagraph"/>
              <w:tabs>
                <w:tab w:val="left" w:pos="1252"/>
              </w:tabs>
              <w:spacing w:line="234" w:lineRule="exact"/>
              <w:ind w:left="321"/>
              <w:jc w:val="left"/>
              <w:rPr>
                <w:rFonts w:ascii="Times New Roman" w:hAnsi="Times New Roman" w:cs="Times New Roman"/>
                <w:sz w:val="20"/>
              </w:rPr>
            </w:pPr>
            <w:r w:rsidRPr="00821ADA">
              <w:rPr>
                <w:rFonts w:ascii="Times New Roman" w:hAnsi="Times New Roman" w:cs="Times New Roman"/>
                <w:sz w:val="20"/>
              </w:rPr>
              <w:t xml:space="preserve"> 9</w:t>
            </w:r>
            <w:r w:rsidRPr="00821ADA">
              <w:rPr>
                <w:rFonts w:ascii="Times New Roman" w:hAnsi="Times New Roman" w:cs="Times New Roman"/>
                <w:sz w:val="20"/>
              </w:rPr>
              <w:tab/>
              <w:t>p-Coumaric</w:t>
            </w:r>
            <w:r w:rsidRPr="00821ADA">
              <w:rPr>
                <w:rFonts w:ascii="Times New Roman" w:hAnsi="Times New Roman" w:cs="Times New Roman"/>
                <w:spacing w:val="-7"/>
                <w:sz w:val="20"/>
              </w:rPr>
              <w:t xml:space="preserve"> </w:t>
            </w:r>
            <w:r w:rsidRPr="00821ADA">
              <w:rPr>
                <w:rFonts w:ascii="Times New Roman" w:hAnsi="Times New Roman" w:cs="Times New Roman"/>
                <w:sz w:val="20"/>
              </w:rPr>
              <w:t>acid</w:t>
            </w:r>
          </w:p>
        </w:tc>
        <w:tc>
          <w:tcPr>
            <w:tcW w:w="3510" w:type="dxa"/>
            <w:tcBorders>
              <w:bottom w:val="single" w:sz="4" w:space="0" w:color="000000"/>
            </w:tcBorders>
          </w:tcPr>
          <w:p w:rsidR="00B41E28" w:rsidRPr="00821ADA" w:rsidRDefault="00B41E28" w:rsidP="00821ADA">
            <w:pPr>
              <w:pStyle w:val="TableParagraph"/>
              <w:spacing w:line="234" w:lineRule="exact"/>
              <w:ind w:left="636" w:right="743"/>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bottom w:val="single" w:sz="4" w:space="0" w:color="000000"/>
            </w:tcBorders>
          </w:tcPr>
          <w:p w:rsidR="00B41E28" w:rsidRPr="00821ADA" w:rsidRDefault="00B41E28" w:rsidP="00821ADA">
            <w:pPr>
              <w:pStyle w:val="TableParagraph"/>
              <w:spacing w:line="234"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gridBefore w:val="1"/>
          <w:wBefore w:w="48" w:type="dxa"/>
          <w:trHeight w:val="350"/>
          <w:jc w:val="center"/>
        </w:trPr>
        <w:tc>
          <w:tcPr>
            <w:tcW w:w="3192" w:type="dxa"/>
            <w:gridSpan w:val="2"/>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7" w:right="740"/>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745" w:right="841"/>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5"/>
                <w:sz w:val="20"/>
              </w:rPr>
              <w:t xml:space="preserve"> </w:t>
            </w:r>
            <w:r w:rsidRPr="00821ADA">
              <w:rPr>
                <w:rFonts w:ascii="Times New Roman" w:hAnsi="Times New Roman" w:cs="Times New Roman"/>
                <w:sz w:val="20"/>
              </w:rPr>
              <w:t>(V)</w:t>
            </w:r>
          </w:p>
        </w:tc>
      </w:tr>
      <w:tr w:rsidR="00B41E28" w:rsidRPr="00821ADA" w:rsidTr="00B41E28">
        <w:trPr>
          <w:gridBefore w:val="1"/>
          <w:wBefore w:w="48" w:type="dxa"/>
          <w:trHeight w:val="352"/>
          <w:jc w:val="center"/>
        </w:trPr>
        <w:tc>
          <w:tcPr>
            <w:tcW w:w="3192" w:type="dxa"/>
            <w:gridSpan w:val="2"/>
            <w:tcBorders>
              <w:top w:val="single" w:sz="4" w:space="0" w:color="000000"/>
            </w:tcBorders>
          </w:tcPr>
          <w:p w:rsidR="00B41E28" w:rsidRPr="00821ADA" w:rsidRDefault="00B41E28" w:rsidP="00821ADA">
            <w:pPr>
              <w:pStyle w:val="TableParagraph"/>
              <w:tabs>
                <w:tab w:val="left" w:pos="1526"/>
              </w:tabs>
              <w:spacing w:line="234" w:lineRule="exact"/>
              <w:ind w:left="268"/>
              <w:jc w:val="left"/>
              <w:rPr>
                <w:rFonts w:ascii="Times New Roman" w:hAnsi="Times New Roman" w:cs="Times New Roman"/>
                <w:sz w:val="20"/>
              </w:rPr>
            </w:pPr>
            <w:r w:rsidRPr="00821ADA">
              <w:rPr>
                <w:rFonts w:ascii="Times New Roman" w:hAnsi="Times New Roman" w:cs="Times New Roman"/>
                <w:sz w:val="20"/>
              </w:rPr>
              <w:t xml:space="preserve"> 10</w:t>
            </w:r>
            <w:r w:rsidRPr="00821ADA">
              <w:rPr>
                <w:rFonts w:ascii="Times New Roman" w:hAnsi="Times New Roman" w:cs="Times New Roman"/>
                <w:sz w:val="20"/>
              </w:rPr>
              <w:tab/>
              <w:t>Quercetin</w:t>
            </w: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7" w:right="743"/>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gridBefore w:val="1"/>
          <w:wBefore w:w="48" w:type="dxa"/>
          <w:trHeight w:val="352"/>
          <w:jc w:val="center"/>
        </w:trPr>
        <w:tc>
          <w:tcPr>
            <w:tcW w:w="3192" w:type="dxa"/>
            <w:gridSpan w:val="2"/>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7" w:right="740"/>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745" w:right="841"/>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8"/>
                <w:sz w:val="20"/>
              </w:rPr>
              <w:t xml:space="preserve"> </w:t>
            </w:r>
            <w:r w:rsidRPr="00821ADA">
              <w:rPr>
                <w:rFonts w:ascii="Times New Roman" w:hAnsi="Times New Roman" w:cs="Times New Roman"/>
                <w:sz w:val="20"/>
              </w:rPr>
              <w:t>(III)</w:t>
            </w:r>
          </w:p>
        </w:tc>
      </w:tr>
      <w:tr w:rsidR="00B41E28" w:rsidRPr="00821ADA" w:rsidTr="00B41E28">
        <w:trPr>
          <w:gridBefore w:val="1"/>
          <w:wBefore w:w="48" w:type="dxa"/>
          <w:trHeight w:val="350"/>
          <w:jc w:val="center"/>
        </w:trPr>
        <w:tc>
          <w:tcPr>
            <w:tcW w:w="3192" w:type="dxa"/>
            <w:gridSpan w:val="2"/>
            <w:tcBorders>
              <w:top w:val="single" w:sz="4" w:space="0" w:color="000000"/>
            </w:tcBorders>
          </w:tcPr>
          <w:p w:rsidR="00B41E28" w:rsidRPr="00821ADA" w:rsidRDefault="00B41E28" w:rsidP="00821ADA">
            <w:pPr>
              <w:pStyle w:val="TableParagraph"/>
              <w:tabs>
                <w:tab w:val="left" w:pos="1449"/>
              </w:tabs>
              <w:spacing w:line="232" w:lineRule="exact"/>
              <w:ind w:left="268"/>
              <w:jc w:val="left"/>
              <w:rPr>
                <w:rFonts w:ascii="Times New Roman" w:hAnsi="Times New Roman" w:cs="Times New Roman"/>
                <w:sz w:val="20"/>
              </w:rPr>
            </w:pPr>
            <w:r w:rsidRPr="00821ADA">
              <w:rPr>
                <w:rFonts w:ascii="Times New Roman" w:hAnsi="Times New Roman" w:cs="Times New Roman"/>
                <w:sz w:val="20"/>
              </w:rPr>
              <w:t xml:space="preserve"> 11</w:t>
            </w:r>
            <w:r w:rsidRPr="00821ADA">
              <w:rPr>
                <w:rFonts w:ascii="Times New Roman" w:hAnsi="Times New Roman" w:cs="Times New Roman"/>
                <w:sz w:val="20"/>
              </w:rPr>
              <w:tab/>
              <w:t>Resveratrol</w:t>
            </w:r>
          </w:p>
        </w:tc>
        <w:tc>
          <w:tcPr>
            <w:tcW w:w="3510" w:type="dxa"/>
            <w:tcBorders>
              <w:top w:val="single" w:sz="4" w:space="0" w:color="000000"/>
              <w:bottom w:val="single" w:sz="4" w:space="0" w:color="000000"/>
            </w:tcBorders>
          </w:tcPr>
          <w:p w:rsidR="00B41E28" w:rsidRPr="00821ADA" w:rsidRDefault="00B41E28" w:rsidP="00821ADA">
            <w:pPr>
              <w:pStyle w:val="TableParagraph"/>
              <w:spacing w:line="232" w:lineRule="exact"/>
              <w:ind w:left="637" w:right="743"/>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2"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gridBefore w:val="1"/>
          <w:wBefore w:w="48" w:type="dxa"/>
          <w:trHeight w:val="352"/>
          <w:jc w:val="center"/>
        </w:trPr>
        <w:tc>
          <w:tcPr>
            <w:tcW w:w="3192" w:type="dxa"/>
            <w:gridSpan w:val="2"/>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7" w:right="740"/>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745" w:right="839"/>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6"/>
                <w:sz w:val="20"/>
              </w:rPr>
              <w:t xml:space="preserve"> </w:t>
            </w:r>
            <w:r w:rsidRPr="00821ADA">
              <w:rPr>
                <w:rFonts w:ascii="Times New Roman" w:hAnsi="Times New Roman" w:cs="Times New Roman"/>
                <w:sz w:val="20"/>
              </w:rPr>
              <w:t>(IV)</w:t>
            </w:r>
          </w:p>
        </w:tc>
      </w:tr>
      <w:tr w:rsidR="00B41E28" w:rsidRPr="00821ADA" w:rsidTr="00B41E28">
        <w:trPr>
          <w:gridBefore w:val="1"/>
          <w:wBefore w:w="48" w:type="dxa"/>
          <w:trHeight w:val="352"/>
          <w:jc w:val="center"/>
        </w:trPr>
        <w:tc>
          <w:tcPr>
            <w:tcW w:w="3192" w:type="dxa"/>
            <w:gridSpan w:val="2"/>
            <w:tcBorders>
              <w:top w:val="single" w:sz="4" w:space="0" w:color="000000"/>
            </w:tcBorders>
          </w:tcPr>
          <w:p w:rsidR="00B41E28" w:rsidRPr="00821ADA" w:rsidRDefault="00B41E28" w:rsidP="00821ADA">
            <w:pPr>
              <w:pStyle w:val="TableParagraph"/>
              <w:tabs>
                <w:tab w:val="left" w:pos="1358"/>
              </w:tabs>
              <w:spacing w:line="231" w:lineRule="exact"/>
              <w:ind w:left="268"/>
              <w:jc w:val="left"/>
              <w:rPr>
                <w:rFonts w:ascii="Times New Roman" w:hAnsi="Times New Roman" w:cs="Times New Roman"/>
                <w:sz w:val="20"/>
              </w:rPr>
            </w:pPr>
            <w:r w:rsidRPr="00821ADA">
              <w:rPr>
                <w:rFonts w:ascii="Times New Roman" w:hAnsi="Times New Roman" w:cs="Times New Roman"/>
                <w:sz w:val="20"/>
              </w:rPr>
              <w:t xml:space="preserve"> 12</w:t>
            </w:r>
            <w:r w:rsidRPr="00821ADA">
              <w:rPr>
                <w:rFonts w:ascii="Times New Roman" w:hAnsi="Times New Roman" w:cs="Times New Roman"/>
                <w:sz w:val="20"/>
              </w:rPr>
              <w:tab/>
              <w:t>Sinapinic</w:t>
            </w:r>
            <w:r w:rsidRPr="00821ADA">
              <w:rPr>
                <w:rFonts w:ascii="Times New Roman" w:hAnsi="Times New Roman" w:cs="Times New Roman"/>
                <w:spacing w:val="-8"/>
                <w:sz w:val="20"/>
              </w:rPr>
              <w:t xml:space="preserve"> </w:t>
            </w:r>
            <w:r w:rsidRPr="00821ADA">
              <w:rPr>
                <w:rFonts w:ascii="Times New Roman" w:hAnsi="Times New Roman" w:cs="Times New Roman"/>
                <w:sz w:val="20"/>
              </w:rPr>
              <w:t>acid</w:t>
            </w: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7" w:right="743"/>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gridBefore w:val="1"/>
          <w:wBefore w:w="48" w:type="dxa"/>
          <w:trHeight w:val="350"/>
          <w:jc w:val="center"/>
        </w:trPr>
        <w:tc>
          <w:tcPr>
            <w:tcW w:w="3192" w:type="dxa"/>
            <w:gridSpan w:val="2"/>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7" w:right="740"/>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745" w:right="839"/>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6"/>
                <w:sz w:val="20"/>
              </w:rPr>
              <w:t xml:space="preserve"> </w:t>
            </w:r>
            <w:r w:rsidRPr="00821ADA">
              <w:rPr>
                <w:rFonts w:ascii="Times New Roman" w:hAnsi="Times New Roman" w:cs="Times New Roman"/>
                <w:sz w:val="20"/>
              </w:rPr>
              <w:t>(IV)</w:t>
            </w:r>
          </w:p>
        </w:tc>
      </w:tr>
      <w:tr w:rsidR="00B41E28" w:rsidRPr="00821ADA" w:rsidTr="00B41E28">
        <w:trPr>
          <w:gridBefore w:val="1"/>
          <w:wBefore w:w="48" w:type="dxa"/>
          <w:trHeight w:val="352"/>
          <w:jc w:val="center"/>
        </w:trPr>
        <w:tc>
          <w:tcPr>
            <w:tcW w:w="3192" w:type="dxa"/>
            <w:gridSpan w:val="2"/>
            <w:tcBorders>
              <w:top w:val="single" w:sz="4" w:space="0" w:color="000000"/>
            </w:tcBorders>
          </w:tcPr>
          <w:p w:rsidR="00B41E28" w:rsidRPr="00821ADA" w:rsidRDefault="00B41E28" w:rsidP="00821ADA">
            <w:pPr>
              <w:pStyle w:val="TableParagraph"/>
              <w:tabs>
                <w:tab w:val="left" w:pos="1432"/>
              </w:tabs>
              <w:spacing w:line="234" w:lineRule="exact"/>
              <w:ind w:left="268"/>
              <w:jc w:val="left"/>
              <w:rPr>
                <w:rFonts w:ascii="Times New Roman" w:hAnsi="Times New Roman" w:cs="Times New Roman"/>
                <w:sz w:val="20"/>
              </w:rPr>
            </w:pPr>
            <w:r w:rsidRPr="00821ADA">
              <w:rPr>
                <w:rFonts w:ascii="Times New Roman" w:hAnsi="Times New Roman" w:cs="Times New Roman"/>
                <w:sz w:val="20"/>
              </w:rPr>
              <w:t xml:space="preserve"> 13</w:t>
            </w:r>
            <w:r w:rsidRPr="00821ADA">
              <w:rPr>
                <w:rFonts w:ascii="Times New Roman" w:hAnsi="Times New Roman" w:cs="Times New Roman"/>
                <w:sz w:val="20"/>
              </w:rPr>
              <w:tab/>
              <w:t>Vanillic</w:t>
            </w:r>
            <w:r w:rsidRPr="00821ADA">
              <w:rPr>
                <w:rFonts w:ascii="Times New Roman" w:hAnsi="Times New Roman" w:cs="Times New Roman"/>
                <w:spacing w:val="-4"/>
                <w:sz w:val="20"/>
              </w:rPr>
              <w:t xml:space="preserve"> </w:t>
            </w:r>
            <w:r w:rsidRPr="00821ADA">
              <w:rPr>
                <w:rFonts w:ascii="Times New Roman" w:hAnsi="Times New Roman" w:cs="Times New Roman"/>
                <w:sz w:val="20"/>
              </w:rPr>
              <w:t>acid</w:t>
            </w: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7" w:right="743"/>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gridBefore w:val="1"/>
          <w:wBefore w:w="48" w:type="dxa"/>
          <w:trHeight w:val="350"/>
          <w:jc w:val="center"/>
        </w:trPr>
        <w:tc>
          <w:tcPr>
            <w:tcW w:w="3192" w:type="dxa"/>
            <w:gridSpan w:val="2"/>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7" w:right="740"/>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745" w:right="839"/>
              <w:rPr>
                <w:rFonts w:ascii="Times New Roman" w:hAnsi="Times New Roman" w:cs="Times New Roman"/>
                <w:sz w:val="20"/>
              </w:rPr>
            </w:pPr>
            <w:r w:rsidRPr="00821ADA">
              <w:rPr>
                <w:rFonts w:ascii="Times New Roman" w:hAnsi="Times New Roman" w:cs="Times New Roman"/>
                <w:i/>
                <w:sz w:val="20"/>
              </w:rPr>
              <w:t>Toxic</w:t>
            </w:r>
            <w:r w:rsidRPr="00821ADA">
              <w:rPr>
                <w:rFonts w:ascii="Times New Roman" w:hAnsi="Times New Roman" w:cs="Times New Roman"/>
                <w:i/>
                <w:spacing w:val="-6"/>
                <w:sz w:val="20"/>
              </w:rPr>
              <w:t xml:space="preserve"> </w:t>
            </w:r>
            <w:r w:rsidRPr="00821ADA">
              <w:rPr>
                <w:rFonts w:ascii="Times New Roman" w:hAnsi="Times New Roman" w:cs="Times New Roman"/>
                <w:sz w:val="20"/>
              </w:rPr>
              <w:t>(IV)</w:t>
            </w:r>
          </w:p>
        </w:tc>
      </w:tr>
      <w:tr w:rsidR="00B41E28" w:rsidRPr="00821ADA" w:rsidTr="00B41E28">
        <w:trPr>
          <w:gridBefore w:val="1"/>
          <w:wBefore w:w="48" w:type="dxa"/>
          <w:trHeight w:val="352"/>
          <w:jc w:val="center"/>
        </w:trPr>
        <w:tc>
          <w:tcPr>
            <w:tcW w:w="3192" w:type="dxa"/>
            <w:gridSpan w:val="2"/>
            <w:tcBorders>
              <w:top w:val="single" w:sz="4" w:space="0" w:color="000000"/>
            </w:tcBorders>
          </w:tcPr>
          <w:p w:rsidR="00B41E28" w:rsidRPr="00821ADA" w:rsidRDefault="00B41E28" w:rsidP="00821ADA">
            <w:pPr>
              <w:pStyle w:val="TableParagraph"/>
              <w:tabs>
                <w:tab w:val="left" w:pos="1420"/>
              </w:tabs>
              <w:spacing w:line="234" w:lineRule="exact"/>
              <w:ind w:left="268"/>
              <w:jc w:val="left"/>
              <w:rPr>
                <w:rFonts w:ascii="Times New Roman" w:hAnsi="Times New Roman" w:cs="Times New Roman"/>
                <w:sz w:val="20"/>
              </w:rPr>
            </w:pPr>
            <w:r w:rsidRPr="00821ADA">
              <w:rPr>
                <w:rFonts w:ascii="Times New Roman" w:hAnsi="Times New Roman" w:cs="Times New Roman"/>
                <w:sz w:val="20"/>
              </w:rPr>
              <w:t xml:space="preserve"> 14</w:t>
            </w:r>
            <w:r w:rsidRPr="00821ADA">
              <w:rPr>
                <w:rFonts w:ascii="Times New Roman" w:hAnsi="Times New Roman" w:cs="Times New Roman"/>
                <w:sz w:val="20"/>
              </w:rPr>
              <w:tab/>
              <w:t>Doxorubicin</w:t>
            </w:r>
          </w:p>
        </w:tc>
        <w:tc>
          <w:tcPr>
            <w:tcW w:w="3510" w:type="dxa"/>
            <w:tcBorders>
              <w:top w:val="single" w:sz="4" w:space="0" w:color="000000"/>
              <w:bottom w:val="single" w:sz="4" w:space="0" w:color="000000"/>
            </w:tcBorders>
          </w:tcPr>
          <w:p w:rsidR="00B41E28" w:rsidRPr="00821ADA" w:rsidRDefault="00B41E28" w:rsidP="00821ADA">
            <w:pPr>
              <w:pStyle w:val="TableParagraph"/>
              <w:spacing w:line="234" w:lineRule="exact"/>
              <w:ind w:left="637" w:right="743"/>
              <w:rPr>
                <w:rFonts w:ascii="Times New Roman" w:hAnsi="Times New Roman" w:cs="Times New Roman"/>
                <w:i/>
                <w:sz w:val="20"/>
              </w:rPr>
            </w:pPr>
            <w:r w:rsidRPr="00821ADA">
              <w:rPr>
                <w:rFonts w:ascii="Times New Roman" w:hAnsi="Times New Roman" w:cs="Times New Roman"/>
                <w:i/>
                <w:sz w:val="20"/>
              </w:rPr>
              <w:t>Toxicity</w:t>
            </w:r>
            <w:r w:rsidRPr="00821ADA">
              <w:rPr>
                <w:rFonts w:ascii="Times New Roman" w:hAnsi="Times New Roman" w:cs="Times New Roman"/>
                <w:i/>
                <w:spacing w:val="-10"/>
                <w:sz w:val="20"/>
              </w:rPr>
              <w:t xml:space="preserve"> </w:t>
            </w:r>
            <w:r w:rsidRPr="00821ADA">
              <w:rPr>
                <w:rFonts w:ascii="Times New Roman" w:hAnsi="Times New Roman" w:cs="Times New Roman"/>
                <w:i/>
                <w:sz w:val="20"/>
              </w:rPr>
              <w:t>Checker</w:t>
            </w:r>
          </w:p>
        </w:tc>
        <w:tc>
          <w:tcPr>
            <w:tcW w:w="2880" w:type="dxa"/>
            <w:tcBorders>
              <w:top w:val="single" w:sz="4" w:space="0" w:color="000000"/>
              <w:bottom w:val="single" w:sz="4" w:space="0" w:color="000000"/>
            </w:tcBorders>
          </w:tcPr>
          <w:p w:rsidR="00B41E28" w:rsidRPr="00821ADA" w:rsidRDefault="00B41E28" w:rsidP="00821ADA">
            <w:pPr>
              <w:pStyle w:val="TableParagraph"/>
              <w:spacing w:line="234"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r w:rsidR="00B41E28" w:rsidRPr="00821ADA" w:rsidTr="00B41E28">
        <w:trPr>
          <w:gridBefore w:val="1"/>
          <w:wBefore w:w="48" w:type="dxa"/>
          <w:trHeight w:val="349"/>
          <w:jc w:val="center"/>
        </w:trPr>
        <w:tc>
          <w:tcPr>
            <w:tcW w:w="3192" w:type="dxa"/>
            <w:gridSpan w:val="2"/>
            <w:tcBorders>
              <w:bottom w:val="single" w:sz="4" w:space="0" w:color="000000"/>
            </w:tcBorders>
          </w:tcPr>
          <w:p w:rsidR="00B41E28" w:rsidRPr="00821ADA" w:rsidRDefault="00B41E28" w:rsidP="00821ADA">
            <w:pPr>
              <w:pStyle w:val="TableParagraph"/>
              <w:jc w:val="left"/>
              <w:rPr>
                <w:rFonts w:ascii="Times New Roman" w:hAnsi="Times New Roman" w:cs="Times New Roman"/>
                <w:sz w:val="20"/>
              </w:rPr>
            </w:pPr>
          </w:p>
        </w:tc>
        <w:tc>
          <w:tcPr>
            <w:tcW w:w="3510" w:type="dxa"/>
            <w:tcBorders>
              <w:top w:val="single" w:sz="4" w:space="0" w:color="000000"/>
              <w:bottom w:val="single" w:sz="4" w:space="0" w:color="000000"/>
            </w:tcBorders>
          </w:tcPr>
          <w:p w:rsidR="00B41E28" w:rsidRPr="00821ADA" w:rsidRDefault="00B41E28" w:rsidP="00821ADA">
            <w:pPr>
              <w:pStyle w:val="TableParagraph"/>
              <w:spacing w:line="231" w:lineRule="exact"/>
              <w:ind w:left="637" w:right="740"/>
              <w:rPr>
                <w:rFonts w:ascii="Times New Roman" w:hAnsi="Times New Roman" w:cs="Times New Roman"/>
                <w:sz w:val="20"/>
              </w:rPr>
            </w:pPr>
            <w:r w:rsidRPr="00821ADA">
              <w:rPr>
                <w:rFonts w:ascii="Times New Roman" w:hAnsi="Times New Roman" w:cs="Times New Roman"/>
                <w:sz w:val="20"/>
              </w:rPr>
              <w:t>Protox</w:t>
            </w:r>
            <w:r w:rsidRPr="00821ADA">
              <w:rPr>
                <w:rFonts w:ascii="Times New Roman" w:hAnsi="Times New Roman" w:cs="Times New Roman"/>
                <w:spacing w:val="-8"/>
                <w:sz w:val="20"/>
              </w:rPr>
              <w:t xml:space="preserve"> </w:t>
            </w:r>
            <w:r w:rsidRPr="00821ADA">
              <w:rPr>
                <w:rFonts w:ascii="Times New Roman" w:hAnsi="Times New Roman" w:cs="Times New Roman"/>
                <w:sz w:val="20"/>
              </w:rPr>
              <w:t>III</w:t>
            </w:r>
          </w:p>
        </w:tc>
        <w:tc>
          <w:tcPr>
            <w:tcW w:w="2880" w:type="dxa"/>
            <w:tcBorders>
              <w:top w:val="single" w:sz="4" w:space="0" w:color="000000"/>
              <w:bottom w:val="single" w:sz="4" w:space="0" w:color="000000"/>
            </w:tcBorders>
          </w:tcPr>
          <w:p w:rsidR="00B41E28" w:rsidRPr="00821ADA" w:rsidRDefault="00B41E28" w:rsidP="00821ADA">
            <w:pPr>
              <w:pStyle w:val="TableParagraph"/>
              <w:spacing w:line="231" w:lineRule="exact"/>
              <w:ind w:left="743" w:right="841"/>
              <w:rPr>
                <w:rFonts w:ascii="Times New Roman" w:hAnsi="Times New Roman" w:cs="Times New Roman"/>
                <w:i/>
                <w:sz w:val="20"/>
              </w:rPr>
            </w:pPr>
            <w:r w:rsidRPr="00821ADA">
              <w:rPr>
                <w:rFonts w:ascii="Times New Roman" w:hAnsi="Times New Roman" w:cs="Times New Roman"/>
                <w:i/>
                <w:sz w:val="20"/>
              </w:rPr>
              <w:t>Toxic</w:t>
            </w:r>
          </w:p>
        </w:tc>
      </w:tr>
    </w:tbl>
    <w:p w:rsidR="00B41E28" w:rsidRPr="00821ADA" w:rsidRDefault="00B41E28" w:rsidP="00821ADA">
      <w:pPr>
        <w:jc w:val="both"/>
        <w:rPr>
          <w:sz w:val="22"/>
          <w:szCs w:val="22"/>
        </w:rPr>
      </w:pPr>
      <w:r w:rsidRPr="00821ADA">
        <w:rPr>
          <w:sz w:val="22"/>
          <w:szCs w:val="22"/>
        </w:rPr>
        <w:t xml:space="preserve">Keterangan: </w:t>
      </w:r>
      <w:r w:rsidRPr="00821ADA">
        <w:rPr>
          <w:i/>
          <w:sz w:val="22"/>
          <w:szCs w:val="22"/>
        </w:rPr>
        <w:t>text highlight beige</w:t>
      </w:r>
      <w:r w:rsidRPr="00821ADA">
        <w:rPr>
          <w:sz w:val="22"/>
          <w:szCs w:val="22"/>
        </w:rPr>
        <w:t xml:space="preserve"> = lolos</w:t>
      </w:r>
    </w:p>
    <w:p w:rsidR="00B41E28" w:rsidRPr="00821ADA" w:rsidRDefault="00B41E28" w:rsidP="00821ADA">
      <w:pPr>
        <w:jc w:val="both"/>
        <w:rPr>
          <w:sz w:val="22"/>
          <w:szCs w:val="22"/>
        </w:rPr>
        <w:sectPr w:rsidR="00B41E28" w:rsidRPr="00821ADA" w:rsidSect="0051620C">
          <w:footerReference w:type="first" r:id="rId25"/>
          <w:pgSz w:w="11907" w:h="16840" w:code="9"/>
          <w:pgMar w:top="1138" w:right="850" w:bottom="1138" w:left="850" w:header="1138" w:footer="1138" w:gutter="0"/>
          <w:pgNumType w:start="1"/>
          <w:cols w:space="720"/>
          <w:titlePg/>
          <w:docGrid w:linePitch="360"/>
        </w:sectPr>
      </w:pPr>
    </w:p>
    <w:p w:rsidR="00B41E28" w:rsidRPr="00821ADA" w:rsidRDefault="00B41E28" w:rsidP="00821ADA">
      <w:pPr>
        <w:jc w:val="both"/>
        <w:rPr>
          <w:b/>
          <w:bCs/>
          <w:sz w:val="22"/>
          <w:szCs w:val="22"/>
        </w:rPr>
      </w:pPr>
    </w:p>
    <w:p w:rsidR="00B41E28" w:rsidRPr="00821ADA" w:rsidRDefault="00B41E28" w:rsidP="00821ADA">
      <w:pPr>
        <w:jc w:val="both"/>
        <w:rPr>
          <w:b/>
          <w:bCs/>
          <w:sz w:val="22"/>
          <w:szCs w:val="22"/>
        </w:rPr>
      </w:pPr>
      <w:r w:rsidRPr="00821ADA">
        <w:rPr>
          <w:b/>
          <w:bCs/>
          <w:sz w:val="22"/>
          <w:szCs w:val="22"/>
        </w:rPr>
        <w:t>3.5 Hasil Analisis Efek Samping Senyawa Metabolit Sekunder Biji Anggur Merah (Vitis vinifera L.)</w:t>
      </w:r>
    </w:p>
    <w:p w:rsidR="00B41E28" w:rsidRPr="00821ADA" w:rsidRDefault="00B41E28" w:rsidP="00821ADA">
      <w:pPr>
        <w:jc w:val="both"/>
        <w:rPr>
          <w:sz w:val="22"/>
          <w:szCs w:val="22"/>
        </w:rPr>
      </w:pPr>
      <w:r w:rsidRPr="00821ADA">
        <w:rPr>
          <w:sz w:val="22"/>
          <w:szCs w:val="22"/>
        </w:rPr>
        <w:t>Hasil analisis efek samping menunjukan bahwa senyawa Naringenin memiliki potensi munculnya efek samping yang rendah dikarenakan memiliki nilai Pa dan Pi yang &lt;0</w:t>
      </w:r>
      <w:proofErr w:type="gramStart"/>
      <w:r w:rsidRPr="00821ADA">
        <w:rPr>
          <w:sz w:val="22"/>
          <w:szCs w:val="22"/>
        </w:rPr>
        <w:t>,5</w:t>
      </w:r>
      <w:proofErr w:type="gramEnd"/>
      <w:r w:rsidRPr="00821ADA">
        <w:rPr>
          <w:sz w:val="22"/>
          <w:szCs w:val="22"/>
        </w:rPr>
        <w:t xml:space="preserve"> dan nilai Pa&gt;Pi (Tabel 3). Nilai Pa dan Pi &lt;0</w:t>
      </w:r>
      <w:proofErr w:type="gramStart"/>
      <w:r w:rsidRPr="00821ADA">
        <w:rPr>
          <w:sz w:val="22"/>
          <w:szCs w:val="22"/>
        </w:rPr>
        <w:t>,5</w:t>
      </w:r>
      <w:proofErr w:type="gramEnd"/>
      <w:r w:rsidRPr="00821ADA">
        <w:rPr>
          <w:sz w:val="22"/>
          <w:szCs w:val="22"/>
        </w:rPr>
        <w:t xml:space="preserve"> menunjukkan bahwa senyawa kemungkinan memiliki potensi efek samping yang </w:t>
      </w:r>
      <w:r w:rsidRPr="00821ADA">
        <w:rPr>
          <w:sz w:val="22"/>
          <w:szCs w:val="22"/>
        </w:rPr>
        <w:t xml:space="preserve">rendah (Filimonov &amp; Poroikov, 2008). Nilai Pa&gt;Pi menunjukkan bahwa senyawa mungkin menghasilkan efek samping namun kemungkinannya sangat kecil (Filimonov &amp; Poroikov, 2008). Hasil analisis senyawa Naringenin menunjukkan hasil yang berbeda dengan hasil </w:t>
      </w:r>
      <w:r w:rsidRPr="00821ADA">
        <w:rPr>
          <w:i/>
          <w:sz w:val="22"/>
          <w:szCs w:val="22"/>
        </w:rPr>
        <w:t>Doxorubicin</w:t>
      </w:r>
      <w:r w:rsidRPr="00821ADA">
        <w:rPr>
          <w:sz w:val="22"/>
          <w:szCs w:val="22"/>
        </w:rPr>
        <w:t xml:space="preserve">, nilai Pa </w:t>
      </w:r>
      <w:r w:rsidRPr="00821ADA">
        <w:rPr>
          <w:i/>
          <w:sz w:val="22"/>
          <w:szCs w:val="22"/>
        </w:rPr>
        <w:t>Doxorubicin</w:t>
      </w:r>
      <w:r w:rsidRPr="00821ADA">
        <w:rPr>
          <w:sz w:val="22"/>
          <w:szCs w:val="22"/>
        </w:rPr>
        <w:t xml:space="preserve"> menunjukkan angka yang lebih besar dari 0,5 pada efek samping </w:t>
      </w:r>
      <w:r w:rsidRPr="00821ADA">
        <w:rPr>
          <w:i/>
          <w:sz w:val="22"/>
          <w:szCs w:val="22"/>
        </w:rPr>
        <w:t>Cardiac failure</w:t>
      </w:r>
      <w:r w:rsidRPr="00821ADA">
        <w:rPr>
          <w:sz w:val="22"/>
          <w:szCs w:val="22"/>
        </w:rPr>
        <w:t xml:space="preserve"> dan </w:t>
      </w:r>
      <w:r w:rsidRPr="00821ADA">
        <w:rPr>
          <w:i/>
          <w:sz w:val="22"/>
          <w:szCs w:val="22"/>
        </w:rPr>
        <w:t>Arrhythmia</w:t>
      </w:r>
      <w:r w:rsidRPr="00821ADA">
        <w:rPr>
          <w:sz w:val="22"/>
          <w:szCs w:val="22"/>
        </w:rPr>
        <w:t xml:space="preserve"> sehingga kemungkinan memiliki potensi efek samping yang tinggi (Lagunin et al., 2000).</w:t>
      </w:r>
    </w:p>
    <w:p w:rsidR="00B41E28" w:rsidRPr="00821ADA" w:rsidRDefault="00B41E28" w:rsidP="00821ADA">
      <w:pPr>
        <w:jc w:val="both"/>
        <w:rPr>
          <w:sz w:val="22"/>
          <w:szCs w:val="22"/>
        </w:rPr>
        <w:sectPr w:rsidR="00B41E28" w:rsidRPr="00821ADA" w:rsidSect="00B41E28">
          <w:type w:val="continuous"/>
          <w:pgSz w:w="11907" w:h="16840" w:code="9"/>
          <w:pgMar w:top="1138" w:right="850" w:bottom="1138" w:left="850" w:header="1138" w:footer="1138" w:gutter="0"/>
          <w:pgNumType w:start="1"/>
          <w:cols w:num="2" w:space="720"/>
          <w:titlePg/>
          <w:docGrid w:linePitch="360"/>
        </w:sectPr>
      </w:pPr>
    </w:p>
    <w:p w:rsidR="00B41E28" w:rsidRPr="00821ADA" w:rsidRDefault="00B41E28" w:rsidP="00821ADA">
      <w:pPr>
        <w:jc w:val="center"/>
        <w:rPr>
          <w:sz w:val="22"/>
          <w:szCs w:val="22"/>
        </w:rPr>
      </w:pPr>
      <w:r w:rsidRPr="00821ADA">
        <w:rPr>
          <w:b/>
          <w:sz w:val="22"/>
          <w:szCs w:val="22"/>
        </w:rPr>
        <w:t xml:space="preserve">Tabel 3. </w:t>
      </w:r>
      <w:r w:rsidRPr="00821ADA">
        <w:rPr>
          <w:sz w:val="22"/>
          <w:szCs w:val="22"/>
        </w:rPr>
        <w:t>Hasil Analisis Efek Samping</w:t>
      </w:r>
    </w:p>
    <w:tbl>
      <w:tblPr>
        <w:tblW w:w="0" w:type="auto"/>
        <w:tblInd w:w="354" w:type="dxa"/>
        <w:tblLayout w:type="fixed"/>
        <w:tblCellMar>
          <w:left w:w="0" w:type="dxa"/>
          <w:right w:w="0" w:type="dxa"/>
        </w:tblCellMar>
        <w:tblLook w:val="01E0" w:firstRow="1" w:lastRow="1" w:firstColumn="1" w:lastColumn="1" w:noHBand="0" w:noVBand="0"/>
      </w:tblPr>
      <w:tblGrid>
        <w:gridCol w:w="991"/>
        <w:gridCol w:w="2358"/>
        <w:gridCol w:w="1787"/>
        <w:gridCol w:w="1620"/>
        <w:gridCol w:w="2700"/>
      </w:tblGrid>
      <w:tr w:rsidR="00B41E28" w:rsidRPr="00821ADA" w:rsidTr="00037F63">
        <w:trPr>
          <w:trHeight w:val="350"/>
        </w:trPr>
        <w:tc>
          <w:tcPr>
            <w:tcW w:w="991" w:type="dxa"/>
            <w:tcBorders>
              <w:top w:val="single" w:sz="4" w:space="0" w:color="000000"/>
              <w:bottom w:val="single" w:sz="4" w:space="0" w:color="000000"/>
            </w:tcBorders>
          </w:tcPr>
          <w:p w:rsidR="00B41E28" w:rsidRPr="00821ADA" w:rsidRDefault="00B41E28" w:rsidP="00821ADA">
            <w:pPr>
              <w:pStyle w:val="TableParagraph"/>
              <w:spacing w:line="231" w:lineRule="exact"/>
              <w:ind w:left="239"/>
              <w:jc w:val="left"/>
              <w:rPr>
                <w:rFonts w:ascii="Times New Roman" w:hAnsi="Times New Roman" w:cs="Times New Roman"/>
                <w:sz w:val="20"/>
              </w:rPr>
            </w:pPr>
            <w:r w:rsidRPr="00821ADA">
              <w:rPr>
                <w:rFonts w:ascii="Times New Roman" w:hAnsi="Times New Roman" w:cs="Times New Roman"/>
                <w:sz w:val="20"/>
              </w:rPr>
              <w:t>No</w:t>
            </w:r>
          </w:p>
        </w:tc>
        <w:tc>
          <w:tcPr>
            <w:tcW w:w="2358" w:type="dxa"/>
            <w:tcBorders>
              <w:top w:val="single" w:sz="4" w:space="0" w:color="000000"/>
              <w:bottom w:val="single" w:sz="4" w:space="0" w:color="000000"/>
            </w:tcBorders>
          </w:tcPr>
          <w:p w:rsidR="00B41E28" w:rsidRPr="00821ADA" w:rsidRDefault="00B41E28" w:rsidP="00821ADA">
            <w:pPr>
              <w:pStyle w:val="TableParagraph"/>
              <w:spacing w:line="231" w:lineRule="exact"/>
              <w:ind w:left="487" w:right="775"/>
              <w:rPr>
                <w:rFonts w:ascii="Times New Roman" w:hAnsi="Times New Roman" w:cs="Times New Roman"/>
                <w:sz w:val="20"/>
              </w:rPr>
            </w:pPr>
            <w:r w:rsidRPr="00821ADA">
              <w:rPr>
                <w:rFonts w:ascii="Times New Roman" w:hAnsi="Times New Roman" w:cs="Times New Roman"/>
                <w:sz w:val="20"/>
              </w:rPr>
              <w:t>Senyawa</w:t>
            </w:r>
          </w:p>
        </w:tc>
        <w:tc>
          <w:tcPr>
            <w:tcW w:w="1787" w:type="dxa"/>
            <w:tcBorders>
              <w:top w:val="single" w:sz="4" w:space="0" w:color="000000"/>
              <w:bottom w:val="single" w:sz="4" w:space="0" w:color="000000"/>
            </w:tcBorders>
          </w:tcPr>
          <w:p w:rsidR="00B41E28" w:rsidRPr="00821ADA" w:rsidRDefault="00B41E28" w:rsidP="00821ADA">
            <w:pPr>
              <w:pStyle w:val="TableParagraph"/>
              <w:spacing w:line="231" w:lineRule="exact"/>
              <w:ind w:left="568" w:right="573"/>
              <w:rPr>
                <w:rFonts w:ascii="Times New Roman" w:hAnsi="Times New Roman" w:cs="Times New Roman"/>
                <w:sz w:val="20"/>
              </w:rPr>
            </w:pPr>
            <w:r w:rsidRPr="00821ADA">
              <w:rPr>
                <w:rFonts w:ascii="Times New Roman" w:hAnsi="Times New Roman" w:cs="Times New Roman"/>
                <w:sz w:val="20"/>
              </w:rPr>
              <w:t>Pa</w:t>
            </w:r>
          </w:p>
        </w:tc>
        <w:tc>
          <w:tcPr>
            <w:tcW w:w="1620" w:type="dxa"/>
            <w:tcBorders>
              <w:top w:val="single" w:sz="4" w:space="0" w:color="000000"/>
              <w:bottom w:val="single" w:sz="4" w:space="0" w:color="000000"/>
            </w:tcBorders>
          </w:tcPr>
          <w:p w:rsidR="00B41E28" w:rsidRPr="00821ADA" w:rsidRDefault="00B41E28" w:rsidP="00821ADA">
            <w:pPr>
              <w:pStyle w:val="TableParagraph"/>
              <w:spacing w:line="231" w:lineRule="exact"/>
              <w:ind w:left="573" w:right="384"/>
              <w:rPr>
                <w:rFonts w:ascii="Times New Roman" w:hAnsi="Times New Roman" w:cs="Times New Roman"/>
                <w:sz w:val="20"/>
              </w:rPr>
            </w:pPr>
            <w:r w:rsidRPr="00821ADA">
              <w:rPr>
                <w:rFonts w:ascii="Times New Roman" w:hAnsi="Times New Roman" w:cs="Times New Roman"/>
                <w:sz w:val="20"/>
              </w:rPr>
              <w:t>Pi</w:t>
            </w:r>
          </w:p>
        </w:tc>
        <w:tc>
          <w:tcPr>
            <w:tcW w:w="2700" w:type="dxa"/>
            <w:tcBorders>
              <w:top w:val="single" w:sz="4" w:space="0" w:color="000000"/>
              <w:bottom w:val="single" w:sz="4" w:space="0" w:color="000000"/>
            </w:tcBorders>
          </w:tcPr>
          <w:p w:rsidR="00B41E28" w:rsidRPr="00821ADA" w:rsidRDefault="00B41E28" w:rsidP="00821ADA">
            <w:pPr>
              <w:pStyle w:val="TableParagraph"/>
              <w:spacing w:line="231" w:lineRule="exact"/>
              <w:ind w:left="383" w:right="205"/>
              <w:rPr>
                <w:rFonts w:ascii="Times New Roman" w:hAnsi="Times New Roman" w:cs="Times New Roman"/>
                <w:sz w:val="20"/>
              </w:rPr>
            </w:pPr>
            <w:r w:rsidRPr="00821ADA">
              <w:rPr>
                <w:rFonts w:ascii="Times New Roman" w:hAnsi="Times New Roman" w:cs="Times New Roman"/>
                <w:sz w:val="20"/>
              </w:rPr>
              <w:t>Efek</w:t>
            </w:r>
            <w:r w:rsidRPr="00821ADA">
              <w:rPr>
                <w:rFonts w:ascii="Times New Roman" w:hAnsi="Times New Roman" w:cs="Times New Roman"/>
                <w:spacing w:val="-5"/>
                <w:sz w:val="20"/>
              </w:rPr>
              <w:t xml:space="preserve"> </w:t>
            </w:r>
            <w:r w:rsidRPr="00821ADA">
              <w:rPr>
                <w:rFonts w:ascii="Times New Roman" w:hAnsi="Times New Roman" w:cs="Times New Roman"/>
                <w:sz w:val="20"/>
              </w:rPr>
              <w:t>Samping</w:t>
            </w:r>
          </w:p>
        </w:tc>
      </w:tr>
      <w:tr w:rsidR="00B41E28" w:rsidRPr="00821ADA" w:rsidTr="00037F63">
        <w:trPr>
          <w:trHeight w:val="349"/>
        </w:trPr>
        <w:tc>
          <w:tcPr>
            <w:tcW w:w="991" w:type="dxa"/>
            <w:tcBorders>
              <w:top w:val="single" w:sz="4" w:space="0" w:color="000000"/>
              <w:bottom w:val="single" w:sz="4" w:space="0" w:color="000000"/>
            </w:tcBorders>
          </w:tcPr>
          <w:p w:rsidR="00B41E28" w:rsidRPr="00821ADA" w:rsidRDefault="00B41E28" w:rsidP="00821ADA">
            <w:pPr>
              <w:pStyle w:val="TableParagraph"/>
              <w:spacing w:line="234" w:lineRule="exact"/>
              <w:ind w:left="302"/>
              <w:jc w:val="left"/>
              <w:rPr>
                <w:rFonts w:ascii="Times New Roman" w:hAnsi="Times New Roman" w:cs="Times New Roman"/>
                <w:sz w:val="20"/>
              </w:rPr>
            </w:pPr>
            <w:r w:rsidRPr="00821ADA">
              <w:rPr>
                <w:rFonts w:ascii="Times New Roman" w:hAnsi="Times New Roman" w:cs="Times New Roman"/>
                <w:w w:val="97"/>
                <w:sz w:val="20"/>
              </w:rPr>
              <w:t>1</w:t>
            </w:r>
          </w:p>
        </w:tc>
        <w:tc>
          <w:tcPr>
            <w:tcW w:w="2358" w:type="dxa"/>
            <w:tcBorders>
              <w:top w:val="single" w:sz="4" w:space="0" w:color="000000"/>
              <w:bottom w:val="single" w:sz="4" w:space="0" w:color="000000"/>
            </w:tcBorders>
          </w:tcPr>
          <w:p w:rsidR="00B41E28" w:rsidRPr="00821ADA" w:rsidRDefault="00B41E28" w:rsidP="00821ADA">
            <w:pPr>
              <w:pStyle w:val="TableParagraph"/>
              <w:spacing w:line="234" w:lineRule="exact"/>
              <w:ind w:left="487" w:right="776"/>
              <w:rPr>
                <w:rFonts w:ascii="Times New Roman" w:hAnsi="Times New Roman" w:cs="Times New Roman"/>
                <w:i/>
                <w:sz w:val="20"/>
              </w:rPr>
            </w:pPr>
            <w:r w:rsidRPr="00821ADA">
              <w:rPr>
                <w:rFonts w:ascii="Times New Roman" w:hAnsi="Times New Roman" w:cs="Times New Roman"/>
                <w:i/>
                <w:sz w:val="20"/>
              </w:rPr>
              <w:t>Naringenin</w:t>
            </w:r>
          </w:p>
        </w:tc>
        <w:tc>
          <w:tcPr>
            <w:tcW w:w="1787" w:type="dxa"/>
            <w:tcBorders>
              <w:top w:val="single" w:sz="4" w:space="0" w:color="000000"/>
              <w:bottom w:val="single" w:sz="4" w:space="0" w:color="000000"/>
            </w:tcBorders>
          </w:tcPr>
          <w:p w:rsidR="00B41E28" w:rsidRPr="00821ADA" w:rsidRDefault="00B41E28" w:rsidP="00821ADA">
            <w:pPr>
              <w:pStyle w:val="TableParagraph"/>
              <w:spacing w:line="234" w:lineRule="exact"/>
              <w:ind w:left="568" w:right="574"/>
              <w:rPr>
                <w:rFonts w:ascii="Times New Roman" w:hAnsi="Times New Roman" w:cs="Times New Roman"/>
                <w:sz w:val="20"/>
              </w:rPr>
            </w:pPr>
            <w:r w:rsidRPr="00821ADA">
              <w:rPr>
                <w:rFonts w:ascii="Times New Roman" w:hAnsi="Times New Roman" w:cs="Times New Roman"/>
                <w:sz w:val="20"/>
              </w:rPr>
              <w:t>0.387</w:t>
            </w:r>
          </w:p>
        </w:tc>
        <w:tc>
          <w:tcPr>
            <w:tcW w:w="1620" w:type="dxa"/>
            <w:tcBorders>
              <w:top w:val="single" w:sz="4" w:space="0" w:color="000000"/>
              <w:bottom w:val="single" w:sz="4" w:space="0" w:color="000000"/>
            </w:tcBorders>
          </w:tcPr>
          <w:p w:rsidR="00B41E28" w:rsidRPr="00821ADA" w:rsidRDefault="00B41E28" w:rsidP="00821ADA">
            <w:pPr>
              <w:pStyle w:val="TableParagraph"/>
              <w:spacing w:line="234" w:lineRule="exact"/>
              <w:ind w:left="573" w:right="387"/>
              <w:rPr>
                <w:rFonts w:ascii="Times New Roman" w:hAnsi="Times New Roman" w:cs="Times New Roman"/>
                <w:sz w:val="20"/>
              </w:rPr>
            </w:pPr>
            <w:r w:rsidRPr="00821ADA">
              <w:rPr>
                <w:rFonts w:ascii="Times New Roman" w:hAnsi="Times New Roman" w:cs="Times New Roman"/>
                <w:sz w:val="20"/>
              </w:rPr>
              <w:t>0.268</w:t>
            </w:r>
          </w:p>
        </w:tc>
        <w:tc>
          <w:tcPr>
            <w:tcW w:w="2700" w:type="dxa"/>
            <w:tcBorders>
              <w:top w:val="single" w:sz="4" w:space="0" w:color="000000"/>
              <w:bottom w:val="single" w:sz="4" w:space="0" w:color="000000"/>
            </w:tcBorders>
          </w:tcPr>
          <w:p w:rsidR="00B41E28" w:rsidRPr="00821ADA" w:rsidRDefault="00B41E28" w:rsidP="00821ADA">
            <w:pPr>
              <w:pStyle w:val="TableParagraph"/>
              <w:spacing w:line="234" w:lineRule="exact"/>
              <w:ind w:left="384" w:right="203"/>
              <w:rPr>
                <w:rFonts w:ascii="Times New Roman" w:hAnsi="Times New Roman" w:cs="Times New Roman"/>
                <w:i/>
                <w:sz w:val="20"/>
              </w:rPr>
            </w:pPr>
            <w:r w:rsidRPr="00821ADA">
              <w:rPr>
                <w:rFonts w:ascii="Times New Roman" w:hAnsi="Times New Roman" w:cs="Times New Roman"/>
                <w:i/>
                <w:sz w:val="20"/>
              </w:rPr>
              <w:t>Hepatotoxicity</w:t>
            </w:r>
          </w:p>
        </w:tc>
      </w:tr>
    </w:tbl>
    <w:p w:rsidR="0051620C" w:rsidRDefault="0051620C" w:rsidP="00821ADA">
      <w:pPr>
        <w:pStyle w:val="TableParagraph"/>
        <w:spacing w:line="234" w:lineRule="exact"/>
        <w:ind w:left="302"/>
        <w:jc w:val="left"/>
        <w:rPr>
          <w:rFonts w:ascii="Times New Roman" w:hAnsi="Times New Roman" w:cs="Times New Roman"/>
          <w:w w:val="97"/>
          <w:sz w:val="20"/>
        </w:rPr>
        <w:sectPr w:rsidR="0051620C" w:rsidSect="00B41E28">
          <w:type w:val="continuous"/>
          <w:pgSz w:w="11907" w:h="16840" w:code="9"/>
          <w:pgMar w:top="1138" w:right="850" w:bottom="1138" w:left="850" w:header="1138" w:footer="1138" w:gutter="0"/>
          <w:pgNumType w:start="1"/>
          <w:cols w:space="720"/>
          <w:titlePg/>
          <w:docGrid w:linePitch="360"/>
        </w:sectPr>
      </w:pPr>
    </w:p>
    <w:tbl>
      <w:tblPr>
        <w:tblW w:w="0" w:type="auto"/>
        <w:tblInd w:w="354" w:type="dxa"/>
        <w:tblLayout w:type="fixed"/>
        <w:tblCellMar>
          <w:left w:w="0" w:type="dxa"/>
          <w:right w:w="0" w:type="dxa"/>
        </w:tblCellMar>
        <w:tblLook w:val="01E0" w:firstRow="1" w:lastRow="1" w:firstColumn="1" w:lastColumn="1" w:noHBand="0" w:noVBand="0"/>
      </w:tblPr>
      <w:tblGrid>
        <w:gridCol w:w="991"/>
        <w:gridCol w:w="2358"/>
        <w:gridCol w:w="1787"/>
        <w:gridCol w:w="1620"/>
        <w:gridCol w:w="2700"/>
      </w:tblGrid>
      <w:tr w:rsidR="00B41E28" w:rsidRPr="00821ADA" w:rsidTr="00037F63">
        <w:trPr>
          <w:trHeight w:val="352"/>
        </w:trPr>
        <w:tc>
          <w:tcPr>
            <w:tcW w:w="991" w:type="dxa"/>
            <w:tcBorders>
              <w:top w:val="single" w:sz="4" w:space="0" w:color="000000"/>
            </w:tcBorders>
          </w:tcPr>
          <w:p w:rsidR="00B41E28" w:rsidRPr="00821ADA" w:rsidRDefault="00B41E28" w:rsidP="00821ADA">
            <w:pPr>
              <w:pStyle w:val="TableParagraph"/>
              <w:spacing w:line="234" w:lineRule="exact"/>
              <w:ind w:left="302"/>
              <w:jc w:val="left"/>
              <w:rPr>
                <w:rFonts w:ascii="Times New Roman" w:hAnsi="Times New Roman" w:cs="Times New Roman"/>
                <w:sz w:val="20"/>
              </w:rPr>
            </w:pPr>
            <w:r w:rsidRPr="00821ADA">
              <w:rPr>
                <w:rFonts w:ascii="Times New Roman" w:hAnsi="Times New Roman" w:cs="Times New Roman"/>
                <w:w w:val="97"/>
                <w:sz w:val="20"/>
              </w:rPr>
              <w:lastRenderedPageBreak/>
              <w:t>2</w:t>
            </w:r>
          </w:p>
        </w:tc>
        <w:tc>
          <w:tcPr>
            <w:tcW w:w="2358" w:type="dxa"/>
            <w:tcBorders>
              <w:top w:val="single" w:sz="4" w:space="0" w:color="000000"/>
            </w:tcBorders>
          </w:tcPr>
          <w:p w:rsidR="00B41E28" w:rsidRPr="00821ADA" w:rsidRDefault="00B41E28" w:rsidP="00821ADA">
            <w:pPr>
              <w:pStyle w:val="TableParagraph"/>
              <w:spacing w:line="234" w:lineRule="exact"/>
              <w:ind w:left="487" w:right="776"/>
              <w:rPr>
                <w:rFonts w:ascii="Times New Roman" w:hAnsi="Times New Roman" w:cs="Times New Roman"/>
                <w:i/>
                <w:sz w:val="20"/>
              </w:rPr>
            </w:pPr>
            <w:r w:rsidRPr="00821ADA">
              <w:rPr>
                <w:rFonts w:ascii="Times New Roman" w:hAnsi="Times New Roman" w:cs="Times New Roman"/>
                <w:i/>
                <w:sz w:val="20"/>
              </w:rPr>
              <w:t>Doxorubicin</w:t>
            </w:r>
          </w:p>
        </w:tc>
        <w:tc>
          <w:tcPr>
            <w:tcW w:w="1787" w:type="dxa"/>
            <w:tcBorders>
              <w:top w:val="single" w:sz="4" w:space="0" w:color="000000"/>
              <w:bottom w:val="single" w:sz="4" w:space="0" w:color="000000"/>
            </w:tcBorders>
          </w:tcPr>
          <w:p w:rsidR="00B41E28" w:rsidRPr="00821ADA" w:rsidRDefault="00B41E28" w:rsidP="00821ADA">
            <w:pPr>
              <w:pStyle w:val="TableParagraph"/>
              <w:spacing w:line="234" w:lineRule="exact"/>
              <w:ind w:left="568" w:right="574"/>
              <w:rPr>
                <w:rFonts w:ascii="Times New Roman" w:hAnsi="Times New Roman" w:cs="Times New Roman"/>
                <w:sz w:val="20"/>
              </w:rPr>
            </w:pPr>
            <w:r w:rsidRPr="00821ADA">
              <w:rPr>
                <w:rFonts w:ascii="Times New Roman" w:hAnsi="Times New Roman" w:cs="Times New Roman"/>
                <w:sz w:val="20"/>
              </w:rPr>
              <w:t>0.916</w:t>
            </w:r>
          </w:p>
        </w:tc>
        <w:tc>
          <w:tcPr>
            <w:tcW w:w="1620" w:type="dxa"/>
            <w:tcBorders>
              <w:top w:val="single" w:sz="4" w:space="0" w:color="000000"/>
              <w:bottom w:val="single" w:sz="4" w:space="0" w:color="000000"/>
            </w:tcBorders>
          </w:tcPr>
          <w:p w:rsidR="00B41E28" w:rsidRPr="00821ADA" w:rsidRDefault="00B41E28" w:rsidP="00821ADA">
            <w:pPr>
              <w:pStyle w:val="TableParagraph"/>
              <w:spacing w:line="234" w:lineRule="exact"/>
              <w:ind w:left="573" w:right="387"/>
              <w:rPr>
                <w:rFonts w:ascii="Times New Roman" w:hAnsi="Times New Roman" w:cs="Times New Roman"/>
                <w:sz w:val="20"/>
              </w:rPr>
            </w:pPr>
            <w:r w:rsidRPr="00821ADA">
              <w:rPr>
                <w:rFonts w:ascii="Times New Roman" w:hAnsi="Times New Roman" w:cs="Times New Roman"/>
                <w:sz w:val="20"/>
              </w:rPr>
              <w:t>0.004</w:t>
            </w:r>
          </w:p>
        </w:tc>
        <w:tc>
          <w:tcPr>
            <w:tcW w:w="2700" w:type="dxa"/>
            <w:tcBorders>
              <w:top w:val="single" w:sz="4" w:space="0" w:color="000000"/>
              <w:bottom w:val="single" w:sz="4" w:space="0" w:color="000000"/>
            </w:tcBorders>
          </w:tcPr>
          <w:p w:rsidR="00B41E28" w:rsidRPr="00821ADA" w:rsidRDefault="00B41E28" w:rsidP="00821ADA">
            <w:pPr>
              <w:pStyle w:val="TableParagraph"/>
              <w:spacing w:line="234" w:lineRule="exact"/>
              <w:ind w:left="384" w:right="205"/>
              <w:rPr>
                <w:rFonts w:ascii="Times New Roman" w:hAnsi="Times New Roman" w:cs="Times New Roman"/>
                <w:i/>
                <w:sz w:val="20"/>
              </w:rPr>
            </w:pPr>
            <w:r w:rsidRPr="00821ADA">
              <w:rPr>
                <w:rFonts w:ascii="Times New Roman" w:hAnsi="Times New Roman" w:cs="Times New Roman"/>
                <w:i/>
                <w:sz w:val="20"/>
              </w:rPr>
              <w:t>Cardiac</w:t>
            </w:r>
            <w:r w:rsidRPr="00821ADA">
              <w:rPr>
                <w:rFonts w:ascii="Times New Roman" w:hAnsi="Times New Roman" w:cs="Times New Roman"/>
                <w:i/>
                <w:spacing w:val="-8"/>
                <w:sz w:val="20"/>
              </w:rPr>
              <w:t xml:space="preserve"> </w:t>
            </w:r>
            <w:r w:rsidRPr="00821ADA">
              <w:rPr>
                <w:rFonts w:ascii="Times New Roman" w:hAnsi="Times New Roman" w:cs="Times New Roman"/>
                <w:i/>
                <w:sz w:val="20"/>
              </w:rPr>
              <w:t>failure</w:t>
            </w:r>
          </w:p>
        </w:tc>
      </w:tr>
      <w:tr w:rsidR="00B41E28" w:rsidRPr="00821ADA" w:rsidTr="00037F63">
        <w:trPr>
          <w:trHeight w:val="352"/>
        </w:trPr>
        <w:tc>
          <w:tcPr>
            <w:tcW w:w="991" w:type="dxa"/>
          </w:tcPr>
          <w:p w:rsidR="00B41E28" w:rsidRPr="00821ADA" w:rsidRDefault="00B41E28" w:rsidP="00821ADA">
            <w:pPr>
              <w:pStyle w:val="TableParagraph"/>
              <w:jc w:val="left"/>
              <w:rPr>
                <w:rFonts w:ascii="Times New Roman" w:hAnsi="Times New Roman" w:cs="Times New Roman"/>
              </w:rPr>
            </w:pPr>
          </w:p>
        </w:tc>
        <w:tc>
          <w:tcPr>
            <w:tcW w:w="2358" w:type="dxa"/>
          </w:tcPr>
          <w:p w:rsidR="00B41E28" w:rsidRPr="00821ADA" w:rsidRDefault="00B41E28" w:rsidP="00821ADA">
            <w:pPr>
              <w:pStyle w:val="TableParagraph"/>
              <w:jc w:val="left"/>
              <w:rPr>
                <w:rFonts w:ascii="Times New Roman" w:hAnsi="Times New Roman" w:cs="Times New Roman"/>
              </w:rPr>
            </w:pPr>
          </w:p>
        </w:tc>
        <w:tc>
          <w:tcPr>
            <w:tcW w:w="1787" w:type="dxa"/>
            <w:tcBorders>
              <w:top w:val="single" w:sz="4" w:space="0" w:color="000000"/>
              <w:bottom w:val="single" w:sz="4" w:space="0" w:color="000000"/>
            </w:tcBorders>
          </w:tcPr>
          <w:p w:rsidR="00B41E28" w:rsidRPr="00821ADA" w:rsidRDefault="00B41E28" w:rsidP="00821ADA">
            <w:pPr>
              <w:pStyle w:val="TableParagraph"/>
              <w:spacing w:line="234" w:lineRule="exact"/>
              <w:ind w:left="568" w:right="574"/>
              <w:rPr>
                <w:rFonts w:ascii="Times New Roman" w:hAnsi="Times New Roman" w:cs="Times New Roman"/>
                <w:sz w:val="20"/>
              </w:rPr>
            </w:pPr>
            <w:r w:rsidRPr="00821ADA">
              <w:rPr>
                <w:rFonts w:ascii="Times New Roman" w:hAnsi="Times New Roman" w:cs="Times New Roman"/>
                <w:sz w:val="20"/>
              </w:rPr>
              <w:t>0.771</w:t>
            </w:r>
          </w:p>
        </w:tc>
        <w:tc>
          <w:tcPr>
            <w:tcW w:w="1620" w:type="dxa"/>
            <w:tcBorders>
              <w:top w:val="single" w:sz="4" w:space="0" w:color="000000"/>
              <w:bottom w:val="single" w:sz="4" w:space="0" w:color="000000"/>
            </w:tcBorders>
          </w:tcPr>
          <w:p w:rsidR="00B41E28" w:rsidRPr="00821ADA" w:rsidRDefault="00B41E28" w:rsidP="00821ADA">
            <w:pPr>
              <w:pStyle w:val="TableParagraph"/>
              <w:spacing w:line="234" w:lineRule="exact"/>
              <w:ind w:left="573" w:right="387"/>
              <w:rPr>
                <w:rFonts w:ascii="Times New Roman" w:hAnsi="Times New Roman" w:cs="Times New Roman"/>
                <w:sz w:val="20"/>
              </w:rPr>
            </w:pPr>
            <w:r w:rsidRPr="00821ADA">
              <w:rPr>
                <w:rFonts w:ascii="Times New Roman" w:hAnsi="Times New Roman" w:cs="Times New Roman"/>
                <w:sz w:val="20"/>
              </w:rPr>
              <w:t>0.017</w:t>
            </w:r>
          </w:p>
        </w:tc>
        <w:tc>
          <w:tcPr>
            <w:tcW w:w="2700" w:type="dxa"/>
            <w:tcBorders>
              <w:top w:val="single" w:sz="4" w:space="0" w:color="000000"/>
              <w:bottom w:val="single" w:sz="4" w:space="0" w:color="000000"/>
            </w:tcBorders>
          </w:tcPr>
          <w:p w:rsidR="00B41E28" w:rsidRPr="00821ADA" w:rsidRDefault="00B41E28" w:rsidP="00821ADA">
            <w:pPr>
              <w:pStyle w:val="TableParagraph"/>
              <w:spacing w:line="234" w:lineRule="exact"/>
              <w:ind w:left="383" w:right="205"/>
              <w:rPr>
                <w:rFonts w:ascii="Times New Roman" w:hAnsi="Times New Roman" w:cs="Times New Roman"/>
                <w:i/>
                <w:sz w:val="20"/>
              </w:rPr>
            </w:pPr>
            <w:r w:rsidRPr="00821ADA">
              <w:rPr>
                <w:rFonts w:ascii="Times New Roman" w:hAnsi="Times New Roman" w:cs="Times New Roman"/>
                <w:i/>
                <w:sz w:val="20"/>
              </w:rPr>
              <w:t>Arrhythmia</w:t>
            </w:r>
          </w:p>
        </w:tc>
      </w:tr>
      <w:tr w:rsidR="00B41E28" w:rsidRPr="00821ADA" w:rsidTr="00037F63">
        <w:trPr>
          <w:trHeight w:val="352"/>
        </w:trPr>
        <w:tc>
          <w:tcPr>
            <w:tcW w:w="991" w:type="dxa"/>
            <w:tcBorders>
              <w:bottom w:val="single" w:sz="4" w:space="0" w:color="000000"/>
            </w:tcBorders>
          </w:tcPr>
          <w:p w:rsidR="00B41E28" w:rsidRPr="00821ADA" w:rsidRDefault="00B41E28" w:rsidP="00821ADA">
            <w:pPr>
              <w:pStyle w:val="TableParagraph"/>
              <w:jc w:val="left"/>
              <w:rPr>
                <w:rFonts w:ascii="Times New Roman" w:hAnsi="Times New Roman" w:cs="Times New Roman"/>
              </w:rPr>
            </w:pPr>
          </w:p>
        </w:tc>
        <w:tc>
          <w:tcPr>
            <w:tcW w:w="2358" w:type="dxa"/>
            <w:tcBorders>
              <w:bottom w:val="single" w:sz="4" w:space="0" w:color="000000"/>
            </w:tcBorders>
          </w:tcPr>
          <w:p w:rsidR="00B41E28" w:rsidRPr="00821ADA" w:rsidRDefault="00B41E28" w:rsidP="00821ADA">
            <w:pPr>
              <w:pStyle w:val="TableParagraph"/>
              <w:jc w:val="left"/>
              <w:rPr>
                <w:rFonts w:ascii="Times New Roman" w:hAnsi="Times New Roman" w:cs="Times New Roman"/>
              </w:rPr>
            </w:pPr>
          </w:p>
        </w:tc>
        <w:tc>
          <w:tcPr>
            <w:tcW w:w="1787" w:type="dxa"/>
            <w:tcBorders>
              <w:top w:val="single" w:sz="4" w:space="0" w:color="000000"/>
              <w:bottom w:val="single" w:sz="4" w:space="0" w:color="000000"/>
            </w:tcBorders>
          </w:tcPr>
          <w:p w:rsidR="00B41E28" w:rsidRPr="00821ADA" w:rsidRDefault="00B41E28" w:rsidP="00821ADA">
            <w:pPr>
              <w:pStyle w:val="TableParagraph"/>
              <w:spacing w:line="234" w:lineRule="exact"/>
              <w:ind w:left="568" w:right="574"/>
              <w:rPr>
                <w:rFonts w:ascii="Times New Roman" w:hAnsi="Times New Roman" w:cs="Times New Roman"/>
                <w:sz w:val="20"/>
              </w:rPr>
            </w:pPr>
            <w:r w:rsidRPr="00821ADA">
              <w:rPr>
                <w:rFonts w:ascii="Times New Roman" w:hAnsi="Times New Roman" w:cs="Times New Roman"/>
                <w:sz w:val="20"/>
              </w:rPr>
              <w:t>0.466</w:t>
            </w:r>
          </w:p>
        </w:tc>
        <w:tc>
          <w:tcPr>
            <w:tcW w:w="1620" w:type="dxa"/>
            <w:tcBorders>
              <w:top w:val="single" w:sz="4" w:space="0" w:color="000000"/>
              <w:bottom w:val="single" w:sz="4" w:space="0" w:color="000000"/>
            </w:tcBorders>
          </w:tcPr>
          <w:p w:rsidR="00B41E28" w:rsidRPr="00821ADA" w:rsidRDefault="00B41E28" w:rsidP="00821ADA">
            <w:pPr>
              <w:pStyle w:val="TableParagraph"/>
              <w:spacing w:line="234" w:lineRule="exact"/>
              <w:ind w:left="573" w:right="387"/>
              <w:rPr>
                <w:rFonts w:ascii="Times New Roman" w:hAnsi="Times New Roman" w:cs="Times New Roman"/>
                <w:sz w:val="20"/>
              </w:rPr>
            </w:pPr>
            <w:r w:rsidRPr="00821ADA">
              <w:rPr>
                <w:rFonts w:ascii="Times New Roman" w:hAnsi="Times New Roman" w:cs="Times New Roman"/>
                <w:sz w:val="20"/>
              </w:rPr>
              <w:t>0.061</w:t>
            </w:r>
          </w:p>
        </w:tc>
        <w:tc>
          <w:tcPr>
            <w:tcW w:w="2700" w:type="dxa"/>
            <w:tcBorders>
              <w:top w:val="single" w:sz="4" w:space="0" w:color="000000"/>
              <w:bottom w:val="single" w:sz="4" w:space="0" w:color="000000"/>
            </w:tcBorders>
          </w:tcPr>
          <w:p w:rsidR="00B41E28" w:rsidRPr="00821ADA" w:rsidRDefault="00B41E28" w:rsidP="00821ADA">
            <w:pPr>
              <w:pStyle w:val="TableParagraph"/>
              <w:spacing w:line="234" w:lineRule="exact"/>
              <w:ind w:left="384" w:right="205"/>
              <w:rPr>
                <w:rFonts w:ascii="Times New Roman" w:hAnsi="Times New Roman" w:cs="Times New Roman"/>
                <w:i/>
                <w:sz w:val="20"/>
              </w:rPr>
            </w:pPr>
            <w:r w:rsidRPr="00821ADA">
              <w:rPr>
                <w:rFonts w:ascii="Times New Roman" w:hAnsi="Times New Roman" w:cs="Times New Roman"/>
                <w:i/>
                <w:sz w:val="20"/>
              </w:rPr>
              <w:t>Nephrotoxicity</w:t>
            </w:r>
          </w:p>
        </w:tc>
      </w:tr>
    </w:tbl>
    <w:p w:rsidR="00B41E28" w:rsidRPr="00821ADA" w:rsidRDefault="00B41E28" w:rsidP="00821ADA">
      <w:pPr>
        <w:rPr>
          <w:sz w:val="22"/>
          <w:szCs w:val="22"/>
        </w:rPr>
        <w:sectPr w:rsidR="00B41E28" w:rsidRPr="00821ADA" w:rsidSect="0051620C">
          <w:footerReference w:type="first" r:id="rId26"/>
          <w:pgSz w:w="11907" w:h="16840" w:code="9"/>
          <w:pgMar w:top="1138" w:right="850" w:bottom="1138" w:left="850" w:header="1138" w:footer="1138" w:gutter="0"/>
          <w:pgNumType w:start="1"/>
          <w:cols w:space="720"/>
          <w:titlePg/>
          <w:docGrid w:linePitch="360"/>
        </w:sectPr>
      </w:pPr>
    </w:p>
    <w:p w:rsidR="00B41E28" w:rsidRPr="00821ADA" w:rsidRDefault="00B41E28" w:rsidP="00821ADA">
      <w:pPr>
        <w:jc w:val="both"/>
        <w:rPr>
          <w:b/>
          <w:bCs/>
          <w:sz w:val="22"/>
          <w:szCs w:val="22"/>
        </w:rPr>
      </w:pPr>
      <w:r w:rsidRPr="00821ADA">
        <w:rPr>
          <w:b/>
          <w:bCs/>
          <w:sz w:val="22"/>
          <w:szCs w:val="22"/>
        </w:rPr>
        <w:t>3.6 Hasil Molecular Docking</w:t>
      </w:r>
    </w:p>
    <w:p w:rsidR="00B41E28" w:rsidRPr="00821ADA" w:rsidRDefault="00B41E28" w:rsidP="00821ADA">
      <w:pPr>
        <w:ind w:firstLine="720"/>
        <w:jc w:val="both"/>
        <w:rPr>
          <w:sz w:val="22"/>
          <w:szCs w:val="22"/>
        </w:rPr>
      </w:pPr>
      <w:r w:rsidRPr="00821ADA">
        <w:rPr>
          <w:sz w:val="22"/>
          <w:szCs w:val="22"/>
        </w:rPr>
        <w:t>Senyawa Naringenin kemudian dianalisis afinitasnya dengan reseptor FZD-2</w:t>
      </w:r>
      <w:proofErr w:type="gramStart"/>
      <w:r w:rsidRPr="00821ADA">
        <w:rPr>
          <w:sz w:val="22"/>
          <w:szCs w:val="22"/>
        </w:rPr>
        <w:t>,FZD</w:t>
      </w:r>
      <w:proofErr w:type="gramEnd"/>
      <w:r w:rsidRPr="00821ADA">
        <w:rPr>
          <w:sz w:val="22"/>
          <w:szCs w:val="22"/>
        </w:rPr>
        <w:t xml:space="preserve">-3, ROR1, Ryk dan protein target PI3K, MMP-7, NFAT, Dvl-2, dan G protein yang terlibat dalam Wnt5a </w:t>
      </w:r>
      <w:r w:rsidRPr="00821ADA">
        <w:rPr>
          <w:i/>
          <w:sz w:val="22"/>
          <w:szCs w:val="22"/>
        </w:rPr>
        <w:t>signaling pathway</w:t>
      </w:r>
      <w:r w:rsidRPr="00821ADA">
        <w:rPr>
          <w:sz w:val="22"/>
          <w:szCs w:val="22"/>
        </w:rPr>
        <w:t xml:space="preserve"> melalui </w:t>
      </w:r>
      <w:r w:rsidRPr="00821ADA">
        <w:rPr>
          <w:i/>
          <w:sz w:val="22"/>
          <w:szCs w:val="22"/>
        </w:rPr>
        <w:t>molecular docking</w:t>
      </w:r>
      <w:r w:rsidRPr="00821ADA">
        <w:rPr>
          <w:sz w:val="22"/>
          <w:szCs w:val="22"/>
        </w:rPr>
        <w:t xml:space="preserve">. </w:t>
      </w:r>
      <w:r w:rsidRPr="00821ADA">
        <w:rPr>
          <w:i/>
          <w:sz w:val="22"/>
          <w:szCs w:val="22"/>
        </w:rPr>
        <w:t xml:space="preserve">Molecular docking </w:t>
      </w:r>
      <w:r w:rsidRPr="00821ADA">
        <w:rPr>
          <w:sz w:val="22"/>
          <w:szCs w:val="22"/>
        </w:rPr>
        <w:t xml:space="preserve">pada reseptor dan protein target tersebut dilakukan secara </w:t>
      </w:r>
      <w:r w:rsidRPr="00821ADA">
        <w:rPr>
          <w:i/>
          <w:sz w:val="22"/>
          <w:szCs w:val="22"/>
        </w:rPr>
        <w:t>blind docking</w:t>
      </w:r>
      <w:r w:rsidRPr="00821ADA">
        <w:rPr>
          <w:sz w:val="22"/>
          <w:szCs w:val="22"/>
        </w:rPr>
        <w:t xml:space="preserve"> diseluruh permukaan reseptor dan protein target karena belum diketahui lokasi pengikatan yang spesifik. Hasil </w:t>
      </w:r>
      <w:r w:rsidRPr="00821ADA">
        <w:rPr>
          <w:i/>
          <w:sz w:val="22"/>
          <w:szCs w:val="22"/>
        </w:rPr>
        <w:t>molecular</w:t>
      </w:r>
      <w:r w:rsidRPr="00821ADA">
        <w:rPr>
          <w:sz w:val="22"/>
          <w:szCs w:val="22"/>
        </w:rPr>
        <w:t xml:space="preserve"> </w:t>
      </w:r>
      <w:r w:rsidRPr="00821ADA">
        <w:rPr>
          <w:i/>
          <w:sz w:val="22"/>
          <w:szCs w:val="22"/>
        </w:rPr>
        <w:t>docking</w:t>
      </w:r>
      <w:r w:rsidRPr="00821ADA">
        <w:rPr>
          <w:sz w:val="22"/>
          <w:szCs w:val="22"/>
        </w:rPr>
        <w:t xml:space="preserve"> menunjukan nilai </w:t>
      </w:r>
      <w:r w:rsidRPr="00821ADA">
        <w:rPr>
          <w:i/>
          <w:sz w:val="22"/>
          <w:szCs w:val="22"/>
        </w:rPr>
        <w:t>binding affinity</w:t>
      </w:r>
      <w:r w:rsidRPr="00821ADA">
        <w:rPr>
          <w:sz w:val="22"/>
          <w:szCs w:val="22"/>
        </w:rPr>
        <w:t xml:space="preserve"> (ΔG) senyawa Naringenin dengan reseptor FZD-2, FZD-3, ROR1, protein target PI3K dan NFAT memiliki nilai yang lebih negatif daripada </w:t>
      </w:r>
      <w:r w:rsidRPr="00821ADA">
        <w:rPr>
          <w:i/>
          <w:sz w:val="22"/>
          <w:szCs w:val="22"/>
        </w:rPr>
        <w:t>Doxorubicin</w:t>
      </w:r>
      <w:r w:rsidRPr="00821ADA">
        <w:rPr>
          <w:sz w:val="22"/>
          <w:szCs w:val="22"/>
        </w:rPr>
        <w:t xml:space="preserve"> (Tabel 4). Hal tersebut menunjukkan bahwa energi yang diperlukan dalam interaksi antara ligan dan protein rendah, sehingga kemungkinan </w:t>
      </w:r>
      <w:proofErr w:type="gramStart"/>
      <w:r w:rsidRPr="00821ADA">
        <w:rPr>
          <w:sz w:val="22"/>
          <w:szCs w:val="22"/>
        </w:rPr>
        <w:t>akan</w:t>
      </w:r>
      <w:proofErr w:type="gramEnd"/>
      <w:r w:rsidRPr="00821ADA">
        <w:rPr>
          <w:sz w:val="22"/>
          <w:szCs w:val="22"/>
        </w:rPr>
        <w:t xml:space="preserve"> terjadi penghambatan ligan yang kuat terhadap reseptor dan protein target (Carlson et al., 2008).</w:t>
      </w:r>
    </w:p>
    <w:p w:rsidR="00037F63" w:rsidRPr="00821ADA" w:rsidRDefault="00037F63" w:rsidP="00821ADA">
      <w:pPr>
        <w:jc w:val="center"/>
        <w:rPr>
          <w:b/>
          <w:sz w:val="22"/>
          <w:szCs w:val="22"/>
        </w:rPr>
        <w:sectPr w:rsidR="00037F63" w:rsidRPr="00821ADA" w:rsidSect="00B41E28">
          <w:type w:val="continuous"/>
          <w:pgSz w:w="11907" w:h="16840" w:code="9"/>
          <w:pgMar w:top="1138" w:right="850" w:bottom="1138" w:left="850" w:header="1138" w:footer="1138" w:gutter="0"/>
          <w:pgNumType w:start="1"/>
          <w:cols w:num="2" w:space="720"/>
          <w:titlePg/>
          <w:docGrid w:linePitch="360"/>
        </w:sectPr>
      </w:pPr>
    </w:p>
    <w:p w:rsidR="00037F63" w:rsidRPr="00821ADA" w:rsidRDefault="00037F63" w:rsidP="00821ADA">
      <w:pPr>
        <w:jc w:val="center"/>
        <w:rPr>
          <w:i/>
          <w:sz w:val="22"/>
          <w:szCs w:val="22"/>
        </w:rPr>
      </w:pPr>
      <w:r w:rsidRPr="00821ADA">
        <w:rPr>
          <w:b/>
          <w:sz w:val="22"/>
          <w:szCs w:val="22"/>
        </w:rPr>
        <w:t>Tabel 4.</w:t>
      </w:r>
      <w:r w:rsidRPr="00821ADA">
        <w:rPr>
          <w:sz w:val="22"/>
          <w:szCs w:val="22"/>
        </w:rPr>
        <w:t xml:space="preserve"> Hasil Analisis </w:t>
      </w:r>
      <w:r w:rsidRPr="00821ADA">
        <w:rPr>
          <w:i/>
          <w:sz w:val="22"/>
          <w:szCs w:val="22"/>
        </w:rPr>
        <w:t>Molecular Docking</w:t>
      </w:r>
    </w:p>
    <w:tbl>
      <w:tblPr>
        <w:tblW w:w="0" w:type="auto"/>
        <w:tblInd w:w="974" w:type="dxa"/>
        <w:tblLayout w:type="fixed"/>
        <w:tblCellMar>
          <w:left w:w="0" w:type="dxa"/>
          <w:right w:w="0" w:type="dxa"/>
        </w:tblCellMar>
        <w:tblLook w:val="01E0" w:firstRow="1" w:lastRow="1" w:firstColumn="1" w:lastColumn="1" w:noHBand="0" w:noVBand="0"/>
      </w:tblPr>
      <w:tblGrid>
        <w:gridCol w:w="2759"/>
        <w:gridCol w:w="6"/>
        <w:gridCol w:w="2753"/>
        <w:gridCol w:w="2753"/>
      </w:tblGrid>
      <w:tr w:rsidR="00037F63" w:rsidRPr="00821ADA" w:rsidTr="00037F63">
        <w:trPr>
          <w:trHeight w:val="234"/>
        </w:trPr>
        <w:tc>
          <w:tcPr>
            <w:tcW w:w="2759" w:type="dxa"/>
            <w:vMerge w:val="restart"/>
            <w:tcBorders>
              <w:top w:val="single" w:sz="4" w:space="0" w:color="000000"/>
            </w:tcBorders>
            <w:vAlign w:val="center"/>
          </w:tcPr>
          <w:p w:rsidR="00037F63" w:rsidRPr="00821ADA" w:rsidRDefault="00037F63" w:rsidP="00821ADA">
            <w:pPr>
              <w:pStyle w:val="TableParagraph"/>
              <w:tabs>
                <w:tab w:val="left" w:pos="3926"/>
              </w:tabs>
              <w:spacing w:line="215" w:lineRule="exact"/>
              <w:ind w:left="1100"/>
              <w:jc w:val="left"/>
              <w:rPr>
                <w:rFonts w:ascii="Times New Roman" w:hAnsi="Times New Roman" w:cs="Times New Roman"/>
                <w:szCs w:val="24"/>
              </w:rPr>
            </w:pPr>
            <w:r w:rsidRPr="00821ADA">
              <w:rPr>
                <w:rFonts w:ascii="Times New Roman" w:hAnsi="Times New Roman" w:cs="Times New Roman"/>
                <w:szCs w:val="24"/>
              </w:rPr>
              <w:t>PDB ID</w:t>
            </w:r>
          </w:p>
        </w:tc>
        <w:tc>
          <w:tcPr>
            <w:tcW w:w="5512" w:type="dxa"/>
            <w:gridSpan w:val="3"/>
            <w:tcBorders>
              <w:top w:val="single" w:sz="4" w:space="0" w:color="000000"/>
              <w:bottom w:val="single" w:sz="4" w:space="0" w:color="000000"/>
            </w:tcBorders>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ΔG</w:t>
            </w:r>
          </w:p>
        </w:tc>
      </w:tr>
      <w:tr w:rsidR="00037F63" w:rsidRPr="00821ADA" w:rsidTr="00037F63">
        <w:trPr>
          <w:trHeight w:val="234"/>
        </w:trPr>
        <w:tc>
          <w:tcPr>
            <w:tcW w:w="2759" w:type="dxa"/>
            <w:vMerge/>
            <w:tcBorders>
              <w:bottom w:val="single" w:sz="4" w:space="0" w:color="000000"/>
            </w:tcBorders>
          </w:tcPr>
          <w:p w:rsidR="00037F63" w:rsidRPr="00821ADA" w:rsidRDefault="00037F63" w:rsidP="00821ADA">
            <w:pPr>
              <w:pStyle w:val="TableParagraph"/>
              <w:tabs>
                <w:tab w:val="left" w:pos="3926"/>
              </w:tabs>
              <w:spacing w:line="215" w:lineRule="exact"/>
              <w:ind w:left="890"/>
              <w:jc w:val="left"/>
              <w:rPr>
                <w:rFonts w:ascii="Times New Roman" w:hAnsi="Times New Roman" w:cs="Times New Roman"/>
                <w:szCs w:val="24"/>
              </w:rPr>
            </w:pPr>
          </w:p>
        </w:tc>
        <w:tc>
          <w:tcPr>
            <w:tcW w:w="2759" w:type="dxa"/>
            <w:gridSpan w:val="2"/>
            <w:tcBorders>
              <w:top w:val="single" w:sz="4" w:space="0" w:color="000000"/>
              <w:bottom w:val="single" w:sz="4" w:space="0" w:color="000000"/>
            </w:tcBorders>
            <w:shd w:val="clear" w:color="auto" w:fill="FFFFFF"/>
          </w:tcPr>
          <w:p w:rsidR="00037F63" w:rsidRPr="00821ADA" w:rsidRDefault="00037F63" w:rsidP="00821ADA">
            <w:pPr>
              <w:spacing w:before="1"/>
              <w:ind w:left="855"/>
              <w:rPr>
                <w:sz w:val="22"/>
                <w:szCs w:val="24"/>
              </w:rPr>
            </w:pPr>
            <w:r w:rsidRPr="00821ADA">
              <w:rPr>
                <w:spacing w:val="-1"/>
                <w:sz w:val="22"/>
                <w:szCs w:val="24"/>
              </w:rPr>
              <w:t>Naringenin</w:t>
            </w:r>
          </w:p>
        </w:tc>
        <w:tc>
          <w:tcPr>
            <w:tcW w:w="2753" w:type="dxa"/>
            <w:tcBorders>
              <w:top w:val="single" w:sz="4" w:space="0" w:color="000000"/>
              <w:bottom w:val="single" w:sz="4" w:space="0" w:color="000000"/>
            </w:tcBorders>
            <w:shd w:val="clear" w:color="auto" w:fill="FFFFFF"/>
          </w:tcPr>
          <w:p w:rsidR="00037F63" w:rsidRPr="00821ADA" w:rsidRDefault="00037F63" w:rsidP="00821ADA">
            <w:pPr>
              <w:pStyle w:val="TableParagraph"/>
              <w:spacing w:line="215" w:lineRule="exact"/>
              <w:ind w:left="623" w:right="509"/>
              <w:rPr>
                <w:rFonts w:ascii="Times New Roman" w:hAnsi="Times New Roman" w:cs="Times New Roman"/>
                <w:szCs w:val="24"/>
              </w:rPr>
            </w:pPr>
            <w:r w:rsidRPr="00821ADA">
              <w:rPr>
                <w:rFonts w:ascii="Times New Roman" w:hAnsi="Times New Roman" w:cs="Times New Roman"/>
                <w:szCs w:val="24"/>
              </w:rPr>
              <w:t>Doxorubicin</w:t>
            </w:r>
          </w:p>
        </w:tc>
      </w:tr>
      <w:tr w:rsidR="00037F63" w:rsidRPr="00821ADA" w:rsidTr="00037F63">
        <w:trPr>
          <w:trHeight w:val="234"/>
        </w:trPr>
        <w:tc>
          <w:tcPr>
            <w:tcW w:w="5518" w:type="dxa"/>
            <w:gridSpan w:val="3"/>
            <w:tcBorders>
              <w:top w:val="single" w:sz="4" w:space="0" w:color="000000"/>
              <w:bottom w:val="single" w:sz="4" w:space="0" w:color="000000"/>
            </w:tcBorders>
          </w:tcPr>
          <w:p w:rsidR="00037F63" w:rsidRPr="00821ADA" w:rsidRDefault="00037F63" w:rsidP="00821ADA">
            <w:pPr>
              <w:pStyle w:val="TableParagraph"/>
              <w:tabs>
                <w:tab w:val="left" w:pos="3926"/>
              </w:tabs>
              <w:spacing w:line="215" w:lineRule="exact"/>
              <w:ind w:left="890"/>
              <w:jc w:val="left"/>
              <w:rPr>
                <w:rFonts w:ascii="Times New Roman" w:hAnsi="Times New Roman" w:cs="Times New Roman"/>
                <w:szCs w:val="24"/>
              </w:rPr>
            </w:pPr>
            <w:r w:rsidRPr="00821ADA">
              <w:rPr>
                <w:rFonts w:ascii="Times New Roman" w:hAnsi="Times New Roman" w:cs="Times New Roman"/>
                <w:szCs w:val="24"/>
              </w:rPr>
              <w:t>6TUA</w:t>
            </w:r>
            <w:r w:rsidRPr="00821ADA">
              <w:rPr>
                <w:rFonts w:ascii="Times New Roman" w:hAnsi="Times New Roman" w:cs="Times New Roman"/>
                <w:spacing w:val="-4"/>
                <w:szCs w:val="24"/>
              </w:rPr>
              <w:t xml:space="preserve"> </w:t>
            </w:r>
            <w:r w:rsidRPr="00821ADA">
              <w:rPr>
                <w:rFonts w:ascii="Times New Roman" w:hAnsi="Times New Roman" w:cs="Times New Roman"/>
                <w:szCs w:val="24"/>
              </w:rPr>
              <w:t>(Ryk)</w:t>
            </w:r>
            <w:r w:rsidRPr="00821ADA">
              <w:rPr>
                <w:rFonts w:ascii="Times New Roman" w:hAnsi="Times New Roman" w:cs="Times New Roman"/>
                <w:szCs w:val="24"/>
              </w:rPr>
              <w:tab/>
              <w:t>-4.53</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-4.67</w:t>
            </w:r>
          </w:p>
        </w:tc>
      </w:tr>
      <w:tr w:rsidR="00037F63" w:rsidRPr="00821ADA" w:rsidTr="00037F63">
        <w:trPr>
          <w:trHeight w:val="234"/>
        </w:trPr>
        <w:tc>
          <w:tcPr>
            <w:tcW w:w="2765" w:type="dxa"/>
            <w:gridSpan w:val="2"/>
            <w:tcBorders>
              <w:top w:val="single" w:sz="4" w:space="0" w:color="000000"/>
              <w:bottom w:val="single" w:sz="4" w:space="0" w:color="000000"/>
            </w:tcBorders>
          </w:tcPr>
          <w:p w:rsidR="00037F63" w:rsidRPr="00821ADA" w:rsidRDefault="00037F63" w:rsidP="00821ADA">
            <w:pPr>
              <w:pStyle w:val="TableParagraph"/>
              <w:spacing w:line="215" w:lineRule="exact"/>
              <w:ind w:left="823"/>
              <w:jc w:val="left"/>
              <w:rPr>
                <w:rFonts w:ascii="Times New Roman" w:hAnsi="Times New Roman" w:cs="Times New Roman"/>
                <w:szCs w:val="24"/>
              </w:rPr>
            </w:pPr>
            <w:r w:rsidRPr="00821ADA">
              <w:rPr>
                <w:rFonts w:ascii="Times New Roman" w:hAnsi="Times New Roman" w:cs="Times New Roman"/>
                <w:szCs w:val="24"/>
              </w:rPr>
              <w:t>8JHC</w:t>
            </w:r>
            <w:r w:rsidRPr="00821ADA">
              <w:rPr>
                <w:rFonts w:ascii="Times New Roman" w:hAnsi="Times New Roman" w:cs="Times New Roman"/>
                <w:spacing w:val="-3"/>
                <w:szCs w:val="24"/>
              </w:rPr>
              <w:t xml:space="preserve"> </w:t>
            </w:r>
            <w:r w:rsidRPr="00821ADA">
              <w:rPr>
                <w:rFonts w:ascii="Times New Roman" w:hAnsi="Times New Roman" w:cs="Times New Roman"/>
                <w:szCs w:val="24"/>
              </w:rPr>
              <w:t>(FZD-3)</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-5.54</w:t>
            </w:r>
          </w:p>
        </w:tc>
        <w:tc>
          <w:tcPr>
            <w:tcW w:w="2753" w:type="dxa"/>
            <w:tcBorders>
              <w:top w:val="single" w:sz="4" w:space="0" w:color="000000"/>
              <w:bottom w:val="single" w:sz="4" w:space="0" w:color="000000"/>
            </w:tcBorders>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-4.1</w:t>
            </w:r>
          </w:p>
        </w:tc>
      </w:tr>
      <w:tr w:rsidR="00037F63" w:rsidRPr="00821ADA" w:rsidTr="00037F63">
        <w:trPr>
          <w:trHeight w:val="234"/>
        </w:trPr>
        <w:tc>
          <w:tcPr>
            <w:tcW w:w="5518" w:type="dxa"/>
            <w:gridSpan w:val="3"/>
            <w:tcBorders>
              <w:top w:val="single" w:sz="4" w:space="0" w:color="000000"/>
              <w:bottom w:val="single" w:sz="4" w:space="0" w:color="000000"/>
            </w:tcBorders>
          </w:tcPr>
          <w:p w:rsidR="00037F63" w:rsidRPr="00821ADA" w:rsidRDefault="00037F63" w:rsidP="00821ADA">
            <w:pPr>
              <w:pStyle w:val="TableParagraph"/>
              <w:tabs>
                <w:tab w:val="left" w:pos="3982"/>
              </w:tabs>
              <w:spacing w:line="215" w:lineRule="exact"/>
              <w:ind w:left="691"/>
              <w:jc w:val="left"/>
              <w:rPr>
                <w:rFonts w:ascii="Times New Roman" w:hAnsi="Times New Roman" w:cs="Times New Roman"/>
                <w:szCs w:val="24"/>
              </w:rPr>
            </w:pPr>
            <w:r w:rsidRPr="00821ADA">
              <w:rPr>
                <w:rFonts w:ascii="Times New Roman" w:hAnsi="Times New Roman" w:cs="Times New Roman"/>
                <w:szCs w:val="24"/>
              </w:rPr>
              <w:t>1GFI</w:t>
            </w:r>
            <w:r w:rsidRPr="00821ADA">
              <w:rPr>
                <w:rFonts w:ascii="Times New Roman" w:hAnsi="Times New Roman" w:cs="Times New Roman"/>
                <w:spacing w:val="-3"/>
                <w:szCs w:val="24"/>
              </w:rPr>
              <w:t xml:space="preserve"> </w:t>
            </w:r>
            <w:r w:rsidRPr="00821ADA">
              <w:rPr>
                <w:rFonts w:ascii="Times New Roman" w:hAnsi="Times New Roman" w:cs="Times New Roman"/>
                <w:szCs w:val="24"/>
              </w:rPr>
              <w:t>(G</w:t>
            </w:r>
            <w:r w:rsidRPr="00821ADA">
              <w:rPr>
                <w:rFonts w:ascii="Times New Roman" w:hAnsi="Times New Roman" w:cs="Times New Roman"/>
                <w:spacing w:val="-1"/>
                <w:szCs w:val="24"/>
              </w:rPr>
              <w:t xml:space="preserve"> </w:t>
            </w:r>
            <w:r w:rsidRPr="00821ADA">
              <w:rPr>
                <w:rFonts w:ascii="Times New Roman" w:hAnsi="Times New Roman" w:cs="Times New Roman"/>
                <w:szCs w:val="24"/>
              </w:rPr>
              <w:t>Protein)</w:t>
            </w:r>
            <w:r w:rsidRPr="00821ADA">
              <w:rPr>
                <w:rFonts w:ascii="Times New Roman" w:hAnsi="Times New Roman" w:cs="Times New Roman"/>
                <w:szCs w:val="24"/>
              </w:rPr>
              <w:tab/>
              <w:t>-4.5</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-4.61</w:t>
            </w:r>
          </w:p>
        </w:tc>
      </w:tr>
      <w:tr w:rsidR="00037F63" w:rsidRPr="00821ADA" w:rsidTr="00037F63">
        <w:trPr>
          <w:trHeight w:val="234"/>
        </w:trPr>
        <w:tc>
          <w:tcPr>
            <w:tcW w:w="2765" w:type="dxa"/>
            <w:gridSpan w:val="2"/>
            <w:tcBorders>
              <w:top w:val="single" w:sz="4" w:space="0" w:color="000000"/>
              <w:bottom w:val="single" w:sz="4" w:space="0" w:color="000000"/>
            </w:tcBorders>
          </w:tcPr>
          <w:p w:rsidR="00037F63" w:rsidRPr="00821ADA" w:rsidRDefault="00037F63" w:rsidP="00821ADA">
            <w:pPr>
              <w:pStyle w:val="TableParagraph"/>
              <w:spacing w:line="215" w:lineRule="exact"/>
              <w:ind w:left="861"/>
              <w:jc w:val="left"/>
              <w:rPr>
                <w:rFonts w:ascii="Times New Roman" w:hAnsi="Times New Roman" w:cs="Times New Roman"/>
                <w:szCs w:val="24"/>
              </w:rPr>
            </w:pPr>
            <w:r w:rsidRPr="00821ADA">
              <w:rPr>
                <w:rFonts w:ascii="Times New Roman" w:hAnsi="Times New Roman" w:cs="Times New Roman"/>
                <w:szCs w:val="24"/>
              </w:rPr>
              <w:t>1E8X</w:t>
            </w:r>
            <w:r w:rsidRPr="00821ADA">
              <w:rPr>
                <w:rFonts w:ascii="Times New Roman" w:hAnsi="Times New Roman" w:cs="Times New Roman"/>
                <w:spacing w:val="-3"/>
                <w:szCs w:val="24"/>
              </w:rPr>
              <w:t xml:space="preserve"> </w:t>
            </w:r>
            <w:r w:rsidRPr="00821ADA">
              <w:rPr>
                <w:rFonts w:ascii="Times New Roman" w:hAnsi="Times New Roman" w:cs="Times New Roman"/>
                <w:szCs w:val="24"/>
              </w:rPr>
              <w:t>(PI3K)</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-6.66</w:t>
            </w:r>
          </w:p>
        </w:tc>
        <w:tc>
          <w:tcPr>
            <w:tcW w:w="2753" w:type="dxa"/>
            <w:tcBorders>
              <w:top w:val="single" w:sz="4" w:space="0" w:color="000000"/>
              <w:bottom w:val="single" w:sz="4" w:space="0" w:color="000000"/>
            </w:tcBorders>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-5.75</w:t>
            </w:r>
          </w:p>
        </w:tc>
      </w:tr>
      <w:tr w:rsidR="00037F63" w:rsidRPr="00821ADA" w:rsidTr="00037F63">
        <w:trPr>
          <w:trHeight w:val="234"/>
        </w:trPr>
        <w:tc>
          <w:tcPr>
            <w:tcW w:w="2765" w:type="dxa"/>
            <w:gridSpan w:val="2"/>
            <w:tcBorders>
              <w:top w:val="single" w:sz="4" w:space="0" w:color="000000"/>
              <w:bottom w:val="single" w:sz="4" w:space="0" w:color="000000"/>
            </w:tcBorders>
          </w:tcPr>
          <w:p w:rsidR="00037F63" w:rsidRPr="00821ADA" w:rsidRDefault="00037F63" w:rsidP="00821ADA">
            <w:pPr>
              <w:pStyle w:val="TableParagraph"/>
              <w:spacing w:line="215" w:lineRule="exact"/>
              <w:ind w:left="815"/>
              <w:jc w:val="left"/>
              <w:rPr>
                <w:rFonts w:ascii="Times New Roman" w:hAnsi="Times New Roman" w:cs="Times New Roman"/>
                <w:szCs w:val="24"/>
              </w:rPr>
            </w:pPr>
            <w:r w:rsidRPr="00821ADA">
              <w:rPr>
                <w:rFonts w:ascii="Times New Roman" w:hAnsi="Times New Roman" w:cs="Times New Roman"/>
                <w:szCs w:val="24"/>
              </w:rPr>
              <w:t>6BA5</w:t>
            </w:r>
            <w:r w:rsidRPr="00821ADA">
              <w:rPr>
                <w:rFonts w:ascii="Times New Roman" w:hAnsi="Times New Roman" w:cs="Times New Roman"/>
                <w:spacing w:val="-3"/>
                <w:szCs w:val="24"/>
              </w:rPr>
              <w:t xml:space="preserve"> </w:t>
            </w:r>
            <w:r w:rsidRPr="00821ADA">
              <w:rPr>
                <w:rFonts w:ascii="Times New Roman" w:hAnsi="Times New Roman" w:cs="Times New Roman"/>
                <w:szCs w:val="24"/>
              </w:rPr>
              <w:t>(ROR1)</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-4.62</w:t>
            </w:r>
          </w:p>
        </w:tc>
        <w:tc>
          <w:tcPr>
            <w:tcW w:w="2753" w:type="dxa"/>
            <w:tcBorders>
              <w:top w:val="single" w:sz="4" w:space="0" w:color="000000"/>
              <w:bottom w:val="single" w:sz="4" w:space="0" w:color="000000"/>
            </w:tcBorders>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-4.54</w:t>
            </w:r>
          </w:p>
        </w:tc>
      </w:tr>
      <w:tr w:rsidR="00037F63" w:rsidRPr="00821ADA" w:rsidTr="00037F63">
        <w:trPr>
          <w:trHeight w:val="232"/>
        </w:trPr>
        <w:tc>
          <w:tcPr>
            <w:tcW w:w="2765" w:type="dxa"/>
            <w:gridSpan w:val="2"/>
            <w:tcBorders>
              <w:top w:val="single" w:sz="4" w:space="0" w:color="000000"/>
              <w:bottom w:val="single" w:sz="4" w:space="0" w:color="000000"/>
            </w:tcBorders>
          </w:tcPr>
          <w:p w:rsidR="00037F63" w:rsidRPr="00821ADA" w:rsidRDefault="00037F63" w:rsidP="00821ADA">
            <w:pPr>
              <w:pStyle w:val="TableParagraph"/>
              <w:spacing w:line="212" w:lineRule="exact"/>
              <w:ind w:left="808"/>
              <w:jc w:val="left"/>
              <w:rPr>
                <w:rFonts w:ascii="Times New Roman" w:hAnsi="Times New Roman" w:cs="Times New Roman"/>
                <w:szCs w:val="24"/>
              </w:rPr>
            </w:pPr>
            <w:r w:rsidRPr="00821ADA">
              <w:rPr>
                <w:rFonts w:ascii="Times New Roman" w:hAnsi="Times New Roman" w:cs="Times New Roman"/>
                <w:szCs w:val="24"/>
              </w:rPr>
              <w:t>7X8P</w:t>
            </w:r>
            <w:r w:rsidRPr="00821ADA">
              <w:rPr>
                <w:rFonts w:ascii="Times New Roman" w:hAnsi="Times New Roman" w:cs="Times New Roman"/>
                <w:spacing w:val="-1"/>
                <w:szCs w:val="24"/>
              </w:rPr>
              <w:t xml:space="preserve"> </w:t>
            </w:r>
            <w:r w:rsidRPr="00821ADA">
              <w:rPr>
                <w:rFonts w:ascii="Times New Roman" w:hAnsi="Times New Roman" w:cs="Times New Roman"/>
                <w:szCs w:val="24"/>
              </w:rPr>
              <w:t>(FZD-2)</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2" w:lineRule="exact"/>
              <w:ind w:left="1141" w:right="1131"/>
              <w:rPr>
                <w:rFonts w:ascii="Times New Roman" w:hAnsi="Times New Roman" w:cs="Times New Roman"/>
                <w:szCs w:val="24"/>
              </w:rPr>
            </w:pPr>
            <w:r w:rsidRPr="00821ADA">
              <w:rPr>
                <w:rFonts w:ascii="Times New Roman" w:hAnsi="Times New Roman" w:cs="Times New Roman"/>
                <w:szCs w:val="24"/>
              </w:rPr>
              <w:t>-7.22</w:t>
            </w:r>
          </w:p>
        </w:tc>
        <w:tc>
          <w:tcPr>
            <w:tcW w:w="2753" w:type="dxa"/>
            <w:tcBorders>
              <w:top w:val="single" w:sz="4" w:space="0" w:color="000000"/>
              <w:bottom w:val="single" w:sz="4" w:space="0" w:color="000000"/>
            </w:tcBorders>
          </w:tcPr>
          <w:p w:rsidR="00037F63" w:rsidRPr="00821ADA" w:rsidRDefault="00037F63" w:rsidP="00821ADA">
            <w:pPr>
              <w:pStyle w:val="TableParagraph"/>
              <w:spacing w:line="212" w:lineRule="exact"/>
              <w:ind w:left="1141" w:right="1131"/>
              <w:rPr>
                <w:rFonts w:ascii="Times New Roman" w:hAnsi="Times New Roman" w:cs="Times New Roman"/>
                <w:szCs w:val="24"/>
              </w:rPr>
            </w:pPr>
            <w:r w:rsidRPr="00821ADA">
              <w:rPr>
                <w:rFonts w:ascii="Times New Roman" w:hAnsi="Times New Roman" w:cs="Times New Roman"/>
                <w:szCs w:val="24"/>
              </w:rPr>
              <w:t>-5.56</w:t>
            </w:r>
          </w:p>
        </w:tc>
      </w:tr>
      <w:tr w:rsidR="00037F63" w:rsidRPr="00821ADA" w:rsidTr="00037F63">
        <w:trPr>
          <w:trHeight w:val="234"/>
        </w:trPr>
        <w:tc>
          <w:tcPr>
            <w:tcW w:w="5518" w:type="dxa"/>
            <w:gridSpan w:val="3"/>
            <w:tcBorders>
              <w:top w:val="single" w:sz="4" w:space="0" w:color="000000"/>
              <w:bottom w:val="single" w:sz="4" w:space="0" w:color="000000"/>
            </w:tcBorders>
          </w:tcPr>
          <w:p w:rsidR="00037F63" w:rsidRPr="00821ADA" w:rsidRDefault="00037F63" w:rsidP="00821ADA">
            <w:pPr>
              <w:pStyle w:val="TableParagraph"/>
              <w:tabs>
                <w:tab w:val="left" w:pos="3926"/>
              </w:tabs>
              <w:spacing w:line="215" w:lineRule="exact"/>
              <w:ind w:left="724"/>
              <w:jc w:val="left"/>
              <w:rPr>
                <w:rFonts w:ascii="Times New Roman" w:hAnsi="Times New Roman" w:cs="Times New Roman"/>
                <w:szCs w:val="24"/>
              </w:rPr>
            </w:pPr>
            <w:r w:rsidRPr="00821ADA">
              <w:rPr>
                <w:rFonts w:ascii="Times New Roman" w:hAnsi="Times New Roman" w:cs="Times New Roman"/>
                <w:szCs w:val="24"/>
              </w:rPr>
              <w:t>7WXX</w:t>
            </w:r>
            <w:r w:rsidRPr="00821ADA">
              <w:rPr>
                <w:rFonts w:ascii="Times New Roman" w:hAnsi="Times New Roman" w:cs="Times New Roman"/>
                <w:spacing w:val="-2"/>
                <w:szCs w:val="24"/>
              </w:rPr>
              <w:t xml:space="preserve"> </w:t>
            </w:r>
            <w:r w:rsidRPr="00821ADA">
              <w:rPr>
                <w:rFonts w:ascii="Times New Roman" w:hAnsi="Times New Roman" w:cs="Times New Roman"/>
                <w:szCs w:val="24"/>
              </w:rPr>
              <w:t>(MMP-7)</w:t>
            </w:r>
            <w:r w:rsidRPr="00821ADA">
              <w:rPr>
                <w:rFonts w:ascii="Times New Roman" w:hAnsi="Times New Roman" w:cs="Times New Roman"/>
                <w:szCs w:val="24"/>
              </w:rPr>
              <w:tab/>
              <w:t>-5.48</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-8.76</w:t>
            </w:r>
          </w:p>
        </w:tc>
      </w:tr>
      <w:tr w:rsidR="00037F63" w:rsidRPr="00821ADA" w:rsidTr="00037F63">
        <w:trPr>
          <w:trHeight w:val="234"/>
        </w:trPr>
        <w:tc>
          <w:tcPr>
            <w:tcW w:w="5518" w:type="dxa"/>
            <w:gridSpan w:val="3"/>
            <w:tcBorders>
              <w:top w:val="single" w:sz="4" w:space="0" w:color="000000"/>
              <w:bottom w:val="single" w:sz="4" w:space="0" w:color="000000"/>
            </w:tcBorders>
          </w:tcPr>
          <w:p w:rsidR="00037F63" w:rsidRPr="00821ADA" w:rsidRDefault="00037F63" w:rsidP="00821ADA">
            <w:pPr>
              <w:pStyle w:val="TableParagraph"/>
              <w:tabs>
                <w:tab w:val="left" w:pos="3982"/>
              </w:tabs>
              <w:spacing w:line="215" w:lineRule="exact"/>
              <w:ind w:left="832"/>
              <w:jc w:val="left"/>
              <w:rPr>
                <w:rFonts w:ascii="Times New Roman" w:hAnsi="Times New Roman" w:cs="Times New Roman"/>
                <w:szCs w:val="24"/>
              </w:rPr>
            </w:pPr>
            <w:r w:rsidRPr="00821ADA">
              <w:rPr>
                <w:rFonts w:ascii="Times New Roman" w:hAnsi="Times New Roman" w:cs="Times New Roman"/>
                <w:szCs w:val="24"/>
              </w:rPr>
              <w:t>3CBX</w:t>
            </w:r>
            <w:r w:rsidRPr="00821ADA">
              <w:rPr>
                <w:rFonts w:ascii="Times New Roman" w:hAnsi="Times New Roman" w:cs="Times New Roman"/>
                <w:spacing w:val="-3"/>
                <w:szCs w:val="24"/>
              </w:rPr>
              <w:t xml:space="preserve"> </w:t>
            </w:r>
            <w:r w:rsidRPr="00821ADA">
              <w:rPr>
                <w:rFonts w:ascii="Times New Roman" w:hAnsi="Times New Roman" w:cs="Times New Roman"/>
                <w:szCs w:val="24"/>
              </w:rPr>
              <w:t>(Dvl-2)</w:t>
            </w:r>
            <w:r w:rsidRPr="00821ADA">
              <w:rPr>
                <w:rFonts w:ascii="Times New Roman" w:hAnsi="Times New Roman" w:cs="Times New Roman"/>
                <w:szCs w:val="24"/>
              </w:rPr>
              <w:tab/>
              <w:t>-5,8</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-5.81</w:t>
            </w:r>
          </w:p>
        </w:tc>
      </w:tr>
      <w:tr w:rsidR="00037F63" w:rsidRPr="00821ADA" w:rsidTr="00037F63">
        <w:trPr>
          <w:trHeight w:val="234"/>
        </w:trPr>
        <w:tc>
          <w:tcPr>
            <w:tcW w:w="2765" w:type="dxa"/>
            <w:gridSpan w:val="2"/>
            <w:tcBorders>
              <w:top w:val="single" w:sz="4" w:space="0" w:color="000000"/>
              <w:bottom w:val="single" w:sz="4" w:space="0" w:color="000000"/>
            </w:tcBorders>
          </w:tcPr>
          <w:p w:rsidR="00037F63" w:rsidRPr="00821ADA" w:rsidRDefault="00037F63" w:rsidP="00821ADA">
            <w:pPr>
              <w:pStyle w:val="TableParagraph"/>
              <w:spacing w:line="215" w:lineRule="exact"/>
              <w:ind w:left="820"/>
              <w:jc w:val="left"/>
              <w:rPr>
                <w:rFonts w:ascii="Times New Roman" w:hAnsi="Times New Roman" w:cs="Times New Roman"/>
                <w:szCs w:val="24"/>
              </w:rPr>
            </w:pPr>
            <w:r w:rsidRPr="00821ADA">
              <w:rPr>
                <w:rFonts w:ascii="Times New Roman" w:hAnsi="Times New Roman" w:cs="Times New Roman"/>
                <w:szCs w:val="24"/>
              </w:rPr>
              <w:t>2O93</w:t>
            </w:r>
            <w:r w:rsidRPr="00821ADA">
              <w:rPr>
                <w:rFonts w:ascii="Times New Roman" w:hAnsi="Times New Roman" w:cs="Times New Roman"/>
                <w:spacing w:val="-4"/>
                <w:szCs w:val="24"/>
              </w:rPr>
              <w:t xml:space="preserve"> </w:t>
            </w:r>
            <w:r w:rsidRPr="00821ADA">
              <w:rPr>
                <w:rFonts w:ascii="Times New Roman" w:hAnsi="Times New Roman" w:cs="Times New Roman"/>
                <w:szCs w:val="24"/>
              </w:rPr>
              <w:t>(NFAT)</w:t>
            </w:r>
          </w:p>
        </w:tc>
        <w:tc>
          <w:tcPr>
            <w:tcW w:w="2753" w:type="dxa"/>
            <w:tcBorders>
              <w:top w:val="single" w:sz="4" w:space="0" w:color="000000"/>
              <w:bottom w:val="single" w:sz="4" w:space="0" w:color="000000"/>
            </w:tcBorders>
            <w:shd w:val="clear" w:color="auto" w:fill="F9D2B4"/>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-4.83</w:t>
            </w:r>
          </w:p>
        </w:tc>
        <w:tc>
          <w:tcPr>
            <w:tcW w:w="2753" w:type="dxa"/>
            <w:tcBorders>
              <w:top w:val="single" w:sz="4" w:space="0" w:color="000000"/>
              <w:bottom w:val="single" w:sz="4" w:space="0" w:color="000000"/>
            </w:tcBorders>
          </w:tcPr>
          <w:p w:rsidR="00037F63" w:rsidRPr="00821ADA" w:rsidRDefault="00037F63" w:rsidP="00821ADA">
            <w:pPr>
              <w:pStyle w:val="TableParagraph"/>
              <w:spacing w:line="215" w:lineRule="exact"/>
              <w:ind w:left="1141" w:right="1131"/>
              <w:rPr>
                <w:rFonts w:ascii="Times New Roman" w:hAnsi="Times New Roman" w:cs="Times New Roman"/>
                <w:szCs w:val="24"/>
              </w:rPr>
            </w:pPr>
            <w:r w:rsidRPr="00821ADA">
              <w:rPr>
                <w:rFonts w:ascii="Times New Roman" w:hAnsi="Times New Roman" w:cs="Times New Roman"/>
                <w:szCs w:val="24"/>
              </w:rPr>
              <w:t>-3.84</w:t>
            </w:r>
          </w:p>
        </w:tc>
      </w:tr>
    </w:tbl>
    <w:p w:rsidR="00037F63" w:rsidRPr="00821ADA" w:rsidRDefault="00037F63" w:rsidP="00821ADA">
      <w:pPr>
        <w:ind w:left="720"/>
        <w:jc w:val="both"/>
        <w:rPr>
          <w:sz w:val="22"/>
          <w:szCs w:val="22"/>
        </w:rPr>
      </w:pPr>
      <w:r w:rsidRPr="00821ADA">
        <w:rPr>
          <w:sz w:val="22"/>
          <w:szCs w:val="22"/>
        </w:rPr>
        <w:t xml:space="preserve">Keterangan: </w:t>
      </w:r>
      <w:r w:rsidRPr="00821ADA">
        <w:rPr>
          <w:i/>
          <w:sz w:val="22"/>
          <w:szCs w:val="22"/>
        </w:rPr>
        <w:t>text highlight beige</w:t>
      </w:r>
      <w:r w:rsidRPr="00821ADA">
        <w:rPr>
          <w:sz w:val="22"/>
          <w:szCs w:val="22"/>
        </w:rPr>
        <w:t xml:space="preserve"> = lebih negatif</w:t>
      </w:r>
    </w:p>
    <w:p w:rsidR="007A6DB9" w:rsidRPr="00821ADA" w:rsidRDefault="007A6DB9" w:rsidP="00821ADA">
      <w:pPr>
        <w:jc w:val="both"/>
        <w:rPr>
          <w:sz w:val="22"/>
          <w:szCs w:val="22"/>
        </w:rPr>
        <w:sectPr w:rsidR="007A6DB9" w:rsidRPr="00821ADA" w:rsidSect="00037F63">
          <w:type w:val="continuous"/>
          <w:pgSz w:w="11907" w:h="16840" w:code="9"/>
          <w:pgMar w:top="1138" w:right="850" w:bottom="1138" w:left="850" w:header="1138" w:footer="1138" w:gutter="0"/>
          <w:pgNumType w:start="1"/>
          <w:cols w:space="720"/>
          <w:titlePg/>
          <w:docGrid w:linePitch="360"/>
        </w:sectPr>
      </w:pPr>
    </w:p>
    <w:p w:rsidR="007A6DB9" w:rsidRPr="00821ADA" w:rsidRDefault="007A6DB9" w:rsidP="00821ADA">
      <w:pPr>
        <w:ind w:firstLine="720"/>
        <w:jc w:val="both"/>
        <w:rPr>
          <w:sz w:val="22"/>
          <w:szCs w:val="22"/>
        </w:rPr>
      </w:pPr>
      <w:r w:rsidRPr="00821ADA">
        <w:rPr>
          <w:sz w:val="22"/>
          <w:szCs w:val="22"/>
        </w:rPr>
        <w:t xml:space="preserve">Hasil </w:t>
      </w:r>
      <w:r w:rsidRPr="00821ADA">
        <w:rPr>
          <w:i/>
          <w:sz w:val="22"/>
          <w:szCs w:val="22"/>
        </w:rPr>
        <w:t>molecular docking</w:t>
      </w:r>
      <w:r w:rsidRPr="00821ADA">
        <w:rPr>
          <w:sz w:val="22"/>
          <w:szCs w:val="22"/>
        </w:rPr>
        <w:t xml:space="preserve"> juga menunjukan bahwa senyawa Naringenin memiliki kesamaan residu asam amino dengan </w:t>
      </w:r>
      <w:r w:rsidRPr="00821ADA">
        <w:rPr>
          <w:i/>
          <w:sz w:val="22"/>
          <w:szCs w:val="22"/>
        </w:rPr>
        <w:t>Doxorubicin</w:t>
      </w:r>
      <w:r w:rsidRPr="00821ADA">
        <w:rPr>
          <w:sz w:val="22"/>
          <w:szCs w:val="22"/>
        </w:rPr>
        <w:t xml:space="preserve">. Interaksi pada protein target FDZ-3 dengan senyawa Naringenin memiliki kesamaan interaksi dengan </w:t>
      </w:r>
      <w:r w:rsidRPr="00821ADA">
        <w:rPr>
          <w:i/>
          <w:sz w:val="22"/>
          <w:szCs w:val="22"/>
        </w:rPr>
        <w:t>Doxorubicin</w:t>
      </w:r>
      <w:r w:rsidRPr="00821ADA">
        <w:rPr>
          <w:sz w:val="22"/>
          <w:szCs w:val="22"/>
        </w:rPr>
        <w:t xml:space="preserve"> pada PRO R</w:t>
      </w:r>
      <w:proofErr w:type="gramStart"/>
      <w:r w:rsidRPr="00821ADA">
        <w:rPr>
          <w:sz w:val="22"/>
          <w:szCs w:val="22"/>
        </w:rPr>
        <w:t>:466</w:t>
      </w:r>
      <w:proofErr w:type="gramEnd"/>
      <w:r w:rsidRPr="00821ADA">
        <w:rPr>
          <w:sz w:val="22"/>
          <w:szCs w:val="22"/>
        </w:rPr>
        <w:t xml:space="preserve"> berupa ikatan </w:t>
      </w:r>
      <w:r w:rsidRPr="00821ADA">
        <w:rPr>
          <w:i/>
          <w:sz w:val="22"/>
          <w:szCs w:val="22"/>
        </w:rPr>
        <w:t>alkyl</w:t>
      </w:r>
      <w:r w:rsidRPr="00821ADA">
        <w:rPr>
          <w:sz w:val="22"/>
          <w:szCs w:val="22"/>
        </w:rPr>
        <w:t xml:space="preserve">. Pada protein target PI3K dengan senyawa Naringenin juga memiliki kesamaan interaksi dengan </w:t>
      </w:r>
      <w:r w:rsidRPr="00821ADA">
        <w:rPr>
          <w:i/>
          <w:sz w:val="22"/>
          <w:szCs w:val="22"/>
        </w:rPr>
        <w:t>Doxorubicin</w:t>
      </w:r>
      <w:r w:rsidRPr="00821ADA">
        <w:rPr>
          <w:sz w:val="22"/>
          <w:szCs w:val="22"/>
        </w:rPr>
        <w:t xml:space="preserve"> pada GLU A</w:t>
      </w:r>
      <w:proofErr w:type="gramStart"/>
      <w:r w:rsidRPr="00821ADA">
        <w:rPr>
          <w:sz w:val="22"/>
          <w:szCs w:val="22"/>
        </w:rPr>
        <w:t>:880</w:t>
      </w:r>
      <w:proofErr w:type="gramEnd"/>
      <w:r w:rsidRPr="00821ADA">
        <w:rPr>
          <w:sz w:val="22"/>
          <w:szCs w:val="22"/>
        </w:rPr>
        <w:t xml:space="preserve"> berupa ikatan hidrogen yang diduga dapat memicu adhesi sel dan mengurangi proliferasi sel kanker. Interaksi pada reseptor FZD-2 dengan senyawa Naringenin juga memiliki kesamaan residu asam amino dengan </w:t>
      </w:r>
      <w:r w:rsidRPr="00821ADA">
        <w:rPr>
          <w:i/>
          <w:sz w:val="22"/>
          <w:szCs w:val="22"/>
        </w:rPr>
        <w:t>Doxorubicin</w:t>
      </w:r>
      <w:r w:rsidRPr="00821ADA">
        <w:rPr>
          <w:sz w:val="22"/>
          <w:szCs w:val="22"/>
        </w:rPr>
        <w:t xml:space="preserve"> pada GLN A</w:t>
      </w:r>
      <w:proofErr w:type="gramStart"/>
      <w:r w:rsidRPr="00821ADA">
        <w:rPr>
          <w:sz w:val="22"/>
          <w:szCs w:val="22"/>
        </w:rPr>
        <w:t>:75</w:t>
      </w:r>
      <w:proofErr w:type="gramEnd"/>
      <w:r w:rsidRPr="00821ADA">
        <w:rPr>
          <w:sz w:val="22"/>
          <w:szCs w:val="22"/>
        </w:rPr>
        <w:t xml:space="preserve"> berupa ikatan hidrogen dan pada PRO A:78, LEU A:79, PRO D:78 berupa ikatan </w:t>
      </w:r>
      <w:r w:rsidRPr="00821ADA">
        <w:rPr>
          <w:i/>
          <w:sz w:val="22"/>
          <w:szCs w:val="22"/>
        </w:rPr>
        <w:t>alkyl</w:t>
      </w:r>
      <w:r w:rsidRPr="00821ADA">
        <w:rPr>
          <w:sz w:val="22"/>
          <w:szCs w:val="22"/>
        </w:rPr>
        <w:t xml:space="preserve">. Pada protein target MMP7 dengan senyawa Naringenin juga </w:t>
      </w:r>
      <w:r w:rsidRPr="00821ADA">
        <w:rPr>
          <w:sz w:val="22"/>
          <w:szCs w:val="22"/>
        </w:rPr>
        <w:t>ditemukan memiliki kesamaan interaksi dengan Doxorubicin pada THR A</w:t>
      </w:r>
      <w:proofErr w:type="gramStart"/>
      <w:r w:rsidRPr="00821ADA">
        <w:rPr>
          <w:sz w:val="22"/>
          <w:szCs w:val="22"/>
        </w:rPr>
        <w:t>:175</w:t>
      </w:r>
      <w:proofErr w:type="gramEnd"/>
      <w:r w:rsidRPr="00821ADA">
        <w:rPr>
          <w:sz w:val="22"/>
          <w:szCs w:val="22"/>
        </w:rPr>
        <w:t xml:space="preserve"> berupa ikatan hidrogen dan Dvl-2 dengan senyawa Naringenin memiliki kesamaan interaksi dengan </w:t>
      </w:r>
      <w:r w:rsidRPr="00821ADA">
        <w:rPr>
          <w:i/>
          <w:sz w:val="22"/>
          <w:szCs w:val="22"/>
        </w:rPr>
        <w:t>Doxorubicin</w:t>
      </w:r>
      <w:r w:rsidRPr="00821ADA">
        <w:rPr>
          <w:sz w:val="22"/>
          <w:szCs w:val="22"/>
        </w:rPr>
        <w:t xml:space="preserve"> pada residu asam amino TRP A:358 berupa ikatan hidrogen dan VAL A:283 berupa ikatan </w:t>
      </w:r>
      <w:r w:rsidRPr="00821ADA">
        <w:rPr>
          <w:i/>
          <w:sz w:val="22"/>
          <w:szCs w:val="22"/>
        </w:rPr>
        <w:t>alkyl</w:t>
      </w:r>
      <w:r w:rsidRPr="00821ADA">
        <w:rPr>
          <w:sz w:val="22"/>
          <w:szCs w:val="22"/>
        </w:rPr>
        <w:t xml:space="preserve">. (Tabel 5, Lampiran 3). Adanya ikatan hidrogen dan alkyl tersebut membuat interaksi antara ligan dan reseptor atau protein target semakin meningkat, sehingga menyebabkan nilai binding affinity semakin negatif (Chen et al., 2016; Kumer &amp; Khan, 2021) dan adanya kesamaan ikatan hirogen dan </w:t>
      </w:r>
      <w:r w:rsidRPr="00821ADA">
        <w:rPr>
          <w:i/>
          <w:sz w:val="22"/>
          <w:szCs w:val="22"/>
        </w:rPr>
        <w:t>alkyl</w:t>
      </w:r>
      <w:r w:rsidRPr="00821ADA">
        <w:rPr>
          <w:sz w:val="22"/>
          <w:szCs w:val="22"/>
        </w:rPr>
        <w:t xml:space="preserve"> pada senyawa naringenin dan </w:t>
      </w:r>
      <w:r w:rsidRPr="00821ADA">
        <w:rPr>
          <w:i/>
          <w:sz w:val="22"/>
          <w:szCs w:val="22"/>
        </w:rPr>
        <w:t>doxorubicin</w:t>
      </w:r>
      <w:r w:rsidRPr="00821ADA">
        <w:rPr>
          <w:sz w:val="22"/>
          <w:szCs w:val="22"/>
        </w:rPr>
        <w:t xml:space="preserve"> menunjukan aktivitas interkasi yang sama sehingga memiliki kemungkinan potensi antikanker yang sama.</w:t>
      </w:r>
    </w:p>
    <w:p w:rsidR="007A6DB9" w:rsidRPr="00821ADA" w:rsidRDefault="007A6DB9" w:rsidP="00821ADA">
      <w:pPr>
        <w:jc w:val="both"/>
        <w:rPr>
          <w:sz w:val="22"/>
          <w:szCs w:val="22"/>
        </w:rPr>
        <w:sectPr w:rsidR="007A6DB9" w:rsidRPr="00821ADA" w:rsidSect="007A6DB9">
          <w:type w:val="continuous"/>
          <w:pgSz w:w="11907" w:h="16840" w:code="9"/>
          <w:pgMar w:top="1138" w:right="850" w:bottom="1138" w:left="850" w:header="1138" w:footer="1138" w:gutter="0"/>
          <w:pgNumType w:start="1"/>
          <w:cols w:num="2" w:space="720"/>
          <w:titlePg/>
          <w:docGrid w:linePitch="360"/>
        </w:sectPr>
      </w:pPr>
    </w:p>
    <w:p w:rsidR="007A6DB9" w:rsidRPr="00821ADA" w:rsidRDefault="007A6DB9" w:rsidP="00F92F5E">
      <w:pPr>
        <w:jc w:val="center"/>
        <w:rPr>
          <w:sz w:val="22"/>
          <w:szCs w:val="22"/>
        </w:rPr>
      </w:pPr>
      <w:r w:rsidRPr="00821ADA">
        <w:rPr>
          <w:b/>
          <w:sz w:val="22"/>
          <w:szCs w:val="22"/>
        </w:rPr>
        <w:t>Tabel 5.</w:t>
      </w:r>
      <w:r w:rsidRPr="00821ADA">
        <w:rPr>
          <w:sz w:val="22"/>
          <w:szCs w:val="22"/>
        </w:rPr>
        <w:t xml:space="preserve"> Residu Asam Amino</w:t>
      </w:r>
    </w:p>
    <w:tbl>
      <w:tblPr>
        <w:tblStyle w:val="PlainTable2"/>
        <w:tblW w:w="0" w:type="auto"/>
        <w:tblLook w:val="04A0" w:firstRow="1" w:lastRow="0" w:firstColumn="1" w:lastColumn="0" w:noHBand="0" w:noVBand="1"/>
      </w:tblPr>
      <w:tblGrid>
        <w:gridCol w:w="2548"/>
        <w:gridCol w:w="2549"/>
        <w:gridCol w:w="2550"/>
        <w:gridCol w:w="2550"/>
      </w:tblGrid>
      <w:tr w:rsidR="007A6DB9" w:rsidRPr="00821ADA" w:rsidTr="00B413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007A6DB9" w:rsidRPr="00821ADA" w:rsidRDefault="007A6DB9" w:rsidP="00821ADA">
            <w:pPr>
              <w:jc w:val="center"/>
              <w:rPr>
                <w:b w:val="0"/>
                <w:sz w:val="22"/>
                <w:szCs w:val="22"/>
              </w:rPr>
            </w:pPr>
            <w:r w:rsidRPr="00821ADA">
              <w:rPr>
                <w:sz w:val="22"/>
                <w:szCs w:val="22"/>
              </w:rPr>
              <w:t>Protein</w:t>
            </w:r>
          </w:p>
        </w:tc>
        <w:tc>
          <w:tcPr>
            <w:tcW w:w="2549" w:type="dxa"/>
          </w:tcPr>
          <w:p w:rsidR="007A6DB9" w:rsidRPr="00821ADA" w:rsidRDefault="007A6DB9" w:rsidP="00821ADA">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21ADA">
              <w:rPr>
                <w:sz w:val="22"/>
                <w:szCs w:val="22"/>
              </w:rPr>
              <w:t>Ligan</w:t>
            </w:r>
          </w:p>
        </w:tc>
        <w:tc>
          <w:tcPr>
            <w:tcW w:w="2550" w:type="dxa"/>
          </w:tcPr>
          <w:p w:rsidR="007A6DB9" w:rsidRPr="00821ADA" w:rsidRDefault="007A6DB9" w:rsidP="00821ADA">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21ADA">
              <w:rPr>
                <w:sz w:val="22"/>
                <w:szCs w:val="22"/>
              </w:rPr>
              <w:t>Residu Asam Amino</w:t>
            </w:r>
          </w:p>
        </w:tc>
        <w:tc>
          <w:tcPr>
            <w:tcW w:w="2550" w:type="dxa"/>
          </w:tcPr>
          <w:p w:rsidR="007A6DB9" w:rsidRPr="00821ADA" w:rsidRDefault="007A6DB9" w:rsidP="00821ADA">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21ADA">
              <w:rPr>
                <w:sz w:val="22"/>
                <w:szCs w:val="22"/>
              </w:rPr>
              <w:t>Jenis Interaksi</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val="restart"/>
          </w:tcPr>
          <w:p w:rsidR="007A6DB9" w:rsidRPr="00B41307" w:rsidRDefault="007A6DB9" w:rsidP="00821ADA">
            <w:pPr>
              <w:jc w:val="center"/>
              <w:rPr>
                <w:b w:val="0"/>
                <w:sz w:val="22"/>
                <w:szCs w:val="22"/>
              </w:rPr>
            </w:pPr>
            <w:r w:rsidRPr="00B41307">
              <w:rPr>
                <w:b w:val="0"/>
                <w:sz w:val="22"/>
                <w:szCs w:val="22"/>
              </w:rPr>
              <w:t>FDZ-3</w:t>
            </w:r>
          </w:p>
        </w:tc>
        <w:tc>
          <w:tcPr>
            <w:tcW w:w="2549" w:type="dxa"/>
            <w:vMerge w:val="restart"/>
          </w:tcPr>
          <w:p w:rsidR="007A6DB9" w:rsidRPr="00821ADA" w:rsidRDefault="007A6DB9" w:rsidP="00821ADA">
            <w:pPr>
              <w:jc w:val="center"/>
              <w:cnfStyle w:val="000000100000" w:firstRow="0" w:lastRow="0" w:firstColumn="0" w:lastColumn="0" w:oddVBand="0" w:evenVBand="0" w:oddHBand="1" w:evenHBand="0" w:firstRowFirstColumn="0" w:firstRowLastColumn="0" w:lastRowFirstColumn="0" w:lastRowLastColumn="0"/>
              <w:rPr>
                <w:sz w:val="22"/>
                <w:szCs w:val="22"/>
              </w:rPr>
            </w:pPr>
            <w:r w:rsidRPr="00821ADA">
              <w:rPr>
                <w:sz w:val="22"/>
                <w:szCs w:val="22"/>
              </w:rPr>
              <w:t>Narigenin</w:t>
            </w:r>
          </w:p>
        </w:tc>
        <w:tc>
          <w:tcPr>
            <w:tcW w:w="2550" w:type="dxa"/>
          </w:tcPr>
          <w:p w:rsidR="007A6DB9" w:rsidRPr="00821ADA" w:rsidRDefault="007A6DB9"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rsidRPr="00821ADA">
              <w:t>PRO</w:t>
            </w:r>
            <w:r w:rsidRPr="00821ADA">
              <w:rPr>
                <w:spacing w:val="-8"/>
              </w:rPr>
              <w:t xml:space="preserve"> </w:t>
            </w:r>
            <w:r w:rsidRPr="00821ADA">
              <w:t>R:464,</w:t>
            </w:r>
            <w:r w:rsidRPr="00821ADA">
              <w:rPr>
                <w:spacing w:val="-7"/>
              </w:rPr>
              <w:t xml:space="preserve"> </w:t>
            </w:r>
            <w:r w:rsidRPr="00821ADA">
              <w:t>GLN</w:t>
            </w:r>
            <w:r w:rsidRPr="00821ADA">
              <w:rPr>
                <w:spacing w:val="-6"/>
              </w:rPr>
              <w:t xml:space="preserve"> </w:t>
            </w:r>
            <w:r w:rsidRPr="00821ADA">
              <w:t>R:468</w:t>
            </w:r>
          </w:p>
        </w:tc>
        <w:tc>
          <w:tcPr>
            <w:tcW w:w="2550" w:type="dxa"/>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000000" w:firstRow="0" w:lastRow="0" w:firstColumn="0" w:lastColumn="0" w:oddVBand="0" w:evenVBand="0" w:oddHBand="0" w:evenHBand="0" w:firstRowFirstColumn="0" w:firstRowLastColumn="0" w:lastRowFirstColumn="0" w:lastRowLastColumn="0"/>
              <w:rPr>
                <w:sz w:val="22"/>
                <w:szCs w:val="22"/>
              </w:rPr>
            </w:pPr>
          </w:p>
        </w:tc>
        <w:tc>
          <w:tcPr>
            <w:tcW w:w="2550" w:type="dxa"/>
          </w:tcPr>
          <w:p w:rsidR="007A6DB9" w:rsidRPr="00B41307"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b/>
                <w:position w:val="2"/>
              </w:rPr>
              <w:t>PRO</w:t>
            </w:r>
            <w:r>
              <w:rPr>
                <w:b/>
                <w:spacing w:val="-7"/>
                <w:position w:val="2"/>
              </w:rPr>
              <w:t xml:space="preserve"> </w:t>
            </w:r>
            <w:r>
              <w:rPr>
                <w:b/>
                <w:position w:val="2"/>
              </w:rPr>
              <w:t>R:466</w:t>
            </w:r>
            <w:r>
              <w:rPr>
                <w:position w:val="2"/>
              </w:rPr>
              <w:t>,</w:t>
            </w:r>
            <w:r>
              <w:rPr>
                <w:spacing w:val="-4"/>
                <w:position w:val="2"/>
              </w:rPr>
              <w:t xml:space="preserve"> </w:t>
            </w:r>
            <w:r>
              <w:rPr>
                <w:position w:val="2"/>
              </w:rPr>
              <w:t>ILE</w:t>
            </w:r>
            <w:r>
              <w:rPr>
                <w:spacing w:val="-6"/>
                <w:position w:val="2"/>
              </w:rPr>
              <w:t xml:space="preserve"> </w:t>
            </w:r>
            <w:r>
              <w:rPr>
                <w:spacing w:val="-2"/>
                <w:position w:val="2"/>
              </w:rPr>
              <w:t>R:454</w:t>
            </w:r>
          </w:p>
        </w:tc>
        <w:tc>
          <w:tcPr>
            <w:tcW w:w="2550" w:type="dxa"/>
          </w:tcPr>
          <w:p w:rsidR="00316752"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Pr>
                <w:i/>
                <w:sz w:val="22"/>
                <w:szCs w:val="22"/>
              </w:rPr>
              <w:t>Alkyl</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val="restart"/>
          </w:tcPr>
          <w:p w:rsidR="007A6DB9" w:rsidRPr="00821ADA" w:rsidRDefault="007A6DB9" w:rsidP="00821ADA">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821ADA">
              <w:rPr>
                <w:i/>
                <w:w w:val="95"/>
                <w:sz w:val="22"/>
              </w:rPr>
              <w:t>Doxorubicin</w:t>
            </w:r>
          </w:p>
        </w:tc>
        <w:tc>
          <w:tcPr>
            <w:tcW w:w="2550" w:type="dxa"/>
          </w:tcPr>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rPr>
                <w:spacing w:val="-2"/>
              </w:rPr>
              <w:t>THR</w:t>
            </w:r>
            <w:r>
              <w:rPr>
                <w:spacing w:val="-7"/>
              </w:rPr>
              <w:t xml:space="preserve"> </w:t>
            </w:r>
            <w:r>
              <w:rPr>
                <w:spacing w:val="-2"/>
              </w:rPr>
              <w:t>R:451,</w:t>
            </w:r>
            <w:r>
              <w:rPr>
                <w:spacing w:val="-4"/>
              </w:rPr>
              <w:t xml:space="preserve"> </w:t>
            </w:r>
            <w:r>
              <w:rPr>
                <w:spacing w:val="-2"/>
              </w:rPr>
              <w:t>TYR</w:t>
            </w:r>
            <w:r>
              <w:rPr>
                <w:spacing w:val="-6"/>
              </w:rPr>
              <w:t xml:space="preserve"> </w:t>
            </w:r>
            <w:r>
              <w:rPr>
                <w:spacing w:val="-2"/>
              </w:rPr>
              <w:t>R:467</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000000" w:firstRow="0" w:lastRow="0" w:firstColumn="0" w:lastColumn="0" w:oddVBand="0" w:evenVBand="0" w:oddHBand="0" w:evenHBand="0" w:firstRowFirstColumn="0" w:firstRowLastColumn="0" w:lastRowFirstColumn="0" w:lastRowLastColumn="0"/>
              <w:rPr>
                <w:i/>
                <w:w w:val="95"/>
                <w:sz w:val="22"/>
              </w:rPr>
            </w:pPr>
          </w:p>
        </w:tc>
        <w:tc>
          <w:tcPr>
            <w:tcW w:w="2550" w:type="dxa"/>
          </w:tcPr>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b/>
                <w:spacing w:val="-4"/>
              </w:rPr>
              <w:t>PRO</w:t>
            </w:r>
            <w:r>
              <w:rPr>
                <w:b/>
              </w:rPr>
              <w:t xml:space="preserve"> </w:t>
            </w:r>
            <w:r>
              <w:rPr>
                <w:b/>
                <w:spacing w:val="-2"/>
              </w:rPr>
              <w:t>R:466</w:t>
            </w:r>
            <w:r>
              <w:rPr>
                <w:spacing w:val="-2"/>
              </w:rPr>
              <w:t>,</w:t>
            </w:r>
            <w:r>
              <w:t xml:space="preserve"> </w:t>
            </w:r>
            <w:r>
              <w:rPr>
                <w:spacing w:val="-4"/>
              </w:rPr>
              <w:t>PRO</w:t>
            </w:r>
            <w:r>
              <w:rPr>
                <w:spacing w:val="-2"/>
              </w:rPr>
              <w:t xml:space="preserve"> R:464</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Pr>
                <w:i/>
                <w:sz w:val="22"/>
                <w:szCs w:val="22"/>
              </w:rPr>
              <w:t>Alkyl</w:t>
            </w:r>
          </w:p>
        </w:tc>
      </w:tr>
    </w:tbl>
    <w:p w:rsidR="0051620C" w:rsidRDefault="0051620C" w:rsidP="00821ADA">
      <w:pPr>
        <w:jc w:val="center"/>
        <w:rPr>
          <w:bCs/>
          <w:sz w:val="22"/>
          <w:szCs w:val="22"/>
        </w:rPr>
        <w:sectPr w:rsidR="0051620C" w:rsidSect="007A6DB9">
          <w:type w:val="continuous"/>
          <w:pgSz w:w="11907" w:h="16840" w:code="9"/>
          <w:pgMar w:top="1138" w:right="850" w:bottom="1138" w:left="850" w:header="1138" w:footer="1138" w:gutter="0"/>
          <w:pgNumType w:start="1"/>
          <w:cols w:space="720"/>
          <w:titlePg/>
          <w:docGrid w:linePitch="360"/>
        </w:sectPr>
      </w:pPr>
    </w:p>
    <w:tbl>
      <w:tblPr>
        <w:tblStyle w:val="PlainTable2"/>
        <w:tblW w:w="0" w:type="auto"/>
        <w:tblLook w:val="04A0" w:firstRow="1" w:lastRow="0" w:firstColumn="1" w:lastColumn="0" w:noHBand="0" w:noVBand="1"/>
      </w:tblPr>
      <w:tblGrid>
        <w:gridCol w:w="2548"/>
        <w:gridCol w:w="2549"/>
        <w:gridCol w:w="2550"/>
        <w:gridCol w:w="2550"/>
      </w:tblGrid>
      <w:tr w:rsidR="007A6DB9" w:rsidRPr="00821ADA" w:rsidTr="00B413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val="restart"/>
          </w:tcPr>
          <w:p w:rsidR="007A6DB9" w:rsidRPr="00B41307" w:rsidRDefault="007A6DB9" w:rsidP="00821ADA">
            <w:pPr>
              <w:jc w:val="center"/>
              <w:rPr>
                <w:b w:val="0"/>
                <w:sz w:val="22"/>
                <w:szCs w:val="22"/>
              </w:rPr>
            </w:pPr>
            <w:r w:rsidRPr="00B41307">
              <w:rPr>
                <w:b w:val="0"/>
                <w:sz w:val="22"/>
                <w:szCs w:val="22"/>
              </w:rPr>
              <w:lastRenderedPageBreak/>
              <w:t>PI3K</w:t>
            </w:r>
          </w:p>
        </w:tc>
        <w:tc>
          <w:tcPr>
            <w:tcW w:w="2549" w:type="dxa"/>
            <w:vMerge w:val="restart"/>
          </w:tcPr>
          <w:p w:rsidR="007A6DB9" w:rsidRPr="00821ADA" w:rsidRDefault="007A6DB9" w:rsidP="00821ADA">
            <w:pPr>
              <w:jc w:val="center"/>
              <w:cnfStyle w:val="100000000000" w:firstRow="1" w:lastRow="0" w:firstColumn="0" w:lastColumn="0" w:oddVBand="0" w:evenVBand="0" w:oddHBand="0" w:evenHBand="0" w:firstRowFirstColumn="0" w:firstRowLastColumn="0" w:lastRowFirstColumn="0" w:lastRowLastColumn="0"/>
              <w:rPr>
                <w:sz w:val="22"/>
                <w:szCs w:val="22"/>
              </w:rPr>
            </w:pPr>
            <w:r w:rsidRPr="00821ADA">
              <w:rPr>
                <w:sz w:val="22"/>
                <w:szCs w:val="22"/>
              </w:rPr>
              <w:t>Narigenin</w:t>
            </w:r>
          </w:p>
        </w:tc>
        <w:tc>
          <w:tcPr>
            <w:tcW w:w="2550" w:type="dxa"/>
          </w:tcPr>
          <w:p w:rsidR="007A6DB9" w:rsidRPr="00821ADA" w:rsidRDefault="00B41307" w:rsidP="00B41307">
            <w:pPr>
              <w:jc w:val="both"/>
              <w:cnfStyle w:val="100000000000" w:firstRow="1" w:lastRow="0" w:firstColumn="0" w:lastColumn="0" w:oddVBand="0" w:evenVBand="0" w:oddHBand="0" w:evenHBand="0" w:firstRowFirstColumn="0" w:firstRowLastColumn="0" w:lastRowFirstColumn="0" w:lastRowLastColumn="0"/>
              <w:rPr>
                <w:sz w:val="22"/>
                <w:szCs w:val="22"/>
              </w:rPr>
            </w:pPr>
            <w:r>
              <w:rPr>
                <w:spacing w:val="-4"/>
              </w:rPr>
              <w:t>SER</w:t>
            </w:r>
            <w:r>
              <w:tab/>
            </w:r>
            <w:r>
              <w:rPr>
                <w:spacing w:val="-2"/>
              </w:rPr>
              <w:t>A:806,</w:t>
            </w:r>
            <w:r>
              <w:tab/>
            </w:r>
            <w:r>
              <w:rPr>
                <w:b w:val="0"/>
                <w:spacing w:val="-4"/>
              </w:rPr>
              <w:t>GLU</w:t>
            </w:r>
            <w:r>
              <w:rPr>
                <w:b w:val="0"/>
              </w:rPr>
              <w:t xml:space="preserve"> A:880</w:t>
            </w:r>
            <w:r>
              <w:t>, VAL A:882</w:t>
            </w:r>
          </w:p>
        </w:tc>
        <w:tc>
          <w:tcPr>
            <w:tcW w:w="2550" w:type="dxa"/>
          </w:tcPr>
          <w:p w:rsidR="007A6DB9" w:rsidRPr="00821ADA" w:rsidRDefault="00B41307" w:rsidP="00821ADA">
            <w:pPr>
              <w:cnfStyle w:val="100000000000" w:firstRow="1"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B41307" w:rsidRDefault="00B41307" w:rsidP="00B41307">
            <w:pPr>
              <w:jc w:val="both"/>
              <w:cnfStyle w:val="000000100000" w:firstRow="0" w:lastRow="0" w:firstColumn="0" w:lastColumn="0" w:oddVBand="0" w:evenVBand="0" w:oddHBand="1" w:evenHBand="0" w:firstRowFirstColumn="0" w:firstRowLastColumn="0" w:lastRowFirstColumn="0" w:lastRowLastColumn="0"/>
            </w:pPr>
            <w:r>
              <w:t>PRO</w:t>
            </w:r>
            <w:r>
              <w:rPr>
                <w:spacing w:val="-8"/>
              </w:rPr>
              <w:t xml:space="preserve"> </w:t>
            </w:r>
            <w:r>
              <w:t>A:810,</w:t>
            </w:r>
            <w:r>
              <w:rPr>
                <w:spacing w:val="-8"/>
              </w:rPr>
              <w:t xml:space="preserve"> </w:t>
            </w:r>
            <w:r>
              <w:t>ILE</w:t>
            </w:r>
            <w:r>
              <w:rPr>
                <w:spacing w:val="-8"/>
              </w:rPr>
              <w:t xml:space="preserve"> </w:t>
            </w:r>
            <w:r>
              <w:t xml:space="preserve">A:831, </w:t>
            </w:r>
          </w:p>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t>ILE A:881</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Pr>
                <w:i/>
                <w:sz w:val="22"/>
                <w:szCs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i/>
                <w:w w:val="95"/>
                <w:sz w:val="22"/>
              </w:rPr>
              <w:t>Doxorubicin</w:t>
            </w:r>
          </w:p>
        </w:tc>
        <w:tc>
          <w:tcPr>
            <w:tcW w:w="2550" w:type="dxa"/>
          </w:tcPr>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t>GLN</w:t>
            </w:r>
            <w:r>
              <w:rPr>
                <w:spacing w:val="-12"/>
              </w:rPr>
              <w:t xml:space="preserve"> </w:t>
            </w:r>
            <w:r>
              <w:t>A:291,</w:t>
            </w:r>
            <w:r>
              <w:rPr>
                <w:spacing w:val="-11"/>
              </w:rPr>
              <w:t xml:space="preserve"> </w:t>
            </w:r>
            <w:r>
              <w:t>LYS</w:t>
            </w:r>
            <w:r>
              <w:rPr>
                <w:spacing w:val="-11"/>
              </w:rPr>
              <w:t xml:space="preserve"> </w:t>
            </w:r>
            <w:r>
              <w:t xml:space="preserve">A:298, ARG A:927, </w:t>
            </w:r>
            <w:r>
              <w:rPr>
                <w:b/>
              </w:rPr>
              <w:t>GLU A:880</w:t>
            </w:r>
            <w:r>
              <w:t xml:space="preserve">, ASP A:788, </w:t>
            </w:r>
            <w:r>
              <w:rPr>
                <w:spacing w:val="-2"/>
              </w:rPr>
              <w:t>PRO</w:t>
            </w:r>
            <w:r>
              <w:rPr>
                <w:spacing w:val="-7"/>
              </w:rPr>
              <w:t xml:space="preserve"> </w:t>
            </w:r>
            <w:r>
              <w:rPr>
                <w:spacing w:val="-2"/>
              </w:rPr>
              <w:t>A:866,</w:t>
            </w:r>
            <w:r>
              <w:rPr>
                <w:spacing w:val="-6"/>
              </w:rPr>
              <w:t xml:space="preserve"> </w:t>
            </w:r>
            <w:r>
              <w:rPr>
                <w:spacing w:val="-2"/>
              </w:rPr>
              <w:t>ARG</w:t>
            </w:r>
            <w:r>
              <w:rPr>
                <w:spacing w:val="-6"/>
              </w:rPr>
              <w:t xml:space="preserve"> </w:t>
            </w:r>
            <w:r>
              <w:rPr>
                <w:spacing w:val="-2"/>
              </w:rPr>
              <w:t>A:849</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i/>
                <w:w w:val="95"/>
                <w:sz w:val="22"/>
              </w:rPr>
            </w:pPr>
          </w:p>
        </w:tc>
        <w:tc>
          <w:tcPr>
            <w:tcW w:w="2550" w:type="dxa"/>
          </w:tcPr>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rPr>
                <w:spacing w:val="-2"/>
                <w:position w:val="2"/>
              </w:rPr>
              <w:t>PHE</w:t>
            </w:r>
            <w:r>
              <w:rPr>
                <w:spacing w:val="-7"/>
                <w:position w:val="2"/>
              </w:rPr>
              <w:t xml:space="preserve"> </w:t>
            </w:r>
            <w:r>
              <w:rPr>
                <w:spacing w:val="-2"/>
                <w:position w:val="2"/>
              </w:rPr>
              <w:t>A:694,</w:t>
            </w:r>
            <w:r>
              <w:rPr>
                <w:spacing w:val="-4"/>
                <w:position w:val="2"/>
              </w:rPr>
              <w:t xml:space="preserve"> </w:t>
            </w:r>
            <w:r>
              <w:rPr>
                <w:spacing w:val="-2"/>
                <w:position w:val="2"/>
              </w:rPr>
              <w:t>ARG</w:t>
            </w:r>
            <w:r>
              <w:rPr>
                <w:spacing w:val="-6"/>
                <w:position w:val="2"/>
              </w:rPr>
              <w:t xml:space="preserve"> </w:t>
            </w:r>
            <w:r>
              <w:rPr>
                <w:spacing w:val="-2"/>
                <w:position w:val="2"/>
              </w:rPr>
              <w:t>A:849</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B41307">
              <w:rPr>
                <w:i/>
                <w:spacing w:val="-2"/>
                <w:sz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val="restart"/>
          </w:tcPr>
          <w:p w:rsidR="007A6DB9" w:rsidRPr="00B41307" w:rsidRDefault="007A6DB9" w:rsidP="00821ADA">
            <w:pPr>
              <w:jc w:val="center"/>
              <w:rPr>
                <w:b w:val="0"/>
                <w:sz w:val="22"/>
                <w:szCs w:val="22"/>
              </w:rPr>
            </w:pPr>
            <w:r w:rsidRPr="00B41307">
              <w:rPr>
                <w:b w:val="0"/>
                <w:sz w:val="22"/>
                <w:szCs w:val="22"/>
              </w:rPr>
              <w:t>FDZ-2</w:t>
            </w: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sz w:val="22"/>
                <w:szCs w:val="22"/>
              </w:rPr>
              <w:t>Narigenin</w:t>
            </w:r>
          </w:p>
        </w:tc>
        <w:tc>
          <w:tcPr>
            <w:tcW w:w="2550" w:type="dxa"/>
          </w:tcPr>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b/>
              </w:rPr>
              <w:t>GLN</w:t>
            </w:r>
            <w:r>
              <w:rPr>
                <w:b/>
                <w:spacing w:val="-6"/>
              </w:rPr>
              <w:t xml:space="preserve"> </w:t>
            </w:r>
            <w:r>
              <w:rPr>
                <w:b/>
                <w:spacing w:val="-4"/>
              </w:rPr>
              <w:t>A:75</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rPr>
                <w:b/>
              </w:rPr>
              <w:t>PRO</w:t>
            </w:r>
            <w:r>
              <w:rPr>
                <w:b/>
                <w:spacing w:val="12"/>
              </w:rPr>
              <w:t xml:space="preserve"> </w:t>
            </w:r>
            <w:r>
              <w:rPr>
                <w:b/>
              </w:rPr>
              <w:t>A:78,</w:t>
            </w:r>
            <w:r>
              <w:rPr>
                <w:b/>
                <w:spacing w:val="13"/>
              </w:rPr>
              <w:t xml:space="preserve"> </w:t>
            </w:r>
            <w:r>
              <w:rPr>
                <w:b/>
              </w:rPr>
              <w:t>LEU</w:t>
            </w:r>
            <w:r>
              <w:rPr>
                <w:b/>
                <w:spacing w:val="13"/>
              </w:rPr>
              <w:t xml:space="preserve"> </w:t>
            </w:r>
            <w:r>
              <w:rPr>
                <w:b/>
              </w:rPr>
              <w:t>A:79, PRO D:78,</w:t>
            </w:r>
            <w:r>
              <w:rPr>
                <w:b/>
                <w:spacing w:val="40"/>
              </w:rPr>
              <w:t xml:space="preserve"> </w:t>
            </w:r>
            <w:r>
              <w:t>LEU D:79</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B41307">
              <w:rPr>
                <w:i/>
                <w:sz w:val="22"/>
                <w:szCs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i/>
                <w:w w:val="95"/>
                <w:sz w:val="22"/>
              </w:rPr>
              <w:t>Doxorubicin</w:t>
            </w:r>
          </w:p>
        </w:tc>
        <w:tc>
          <w:tcPr>
            <w:tcW w:w="2550" w:type="dxa"/>
          </w:tcPr>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b/>
              </w:rPr>
              <w:t>GLN</w:t>
            </w:r>
            <w:r>
              <w:rPr>
                <w:b/>
                <w:spacing w:val="-9"/>
              </w:rPr>
              <w:t xml:space="preserve"> </w:t>
            </w:r>
            <w:r>
              <w:rPr>
                <w:b/>
              </w:rPr>
              <w:t>A:75</w:t>
            </w:r>
            <w:r>
              <w:t>,</w:t>
            </w:r>
            <w:r>
              <w:rPr>
                <w:spacing w:val="-8"/>
              </w:rPr>
              <w:t xml:space="preserve"> </w:t>
            </w:r>
            <w:r>
              <w:t>GLN</w:t>
            </w:r>
            <w:r>
              <w:rPr>
                <w:spacing w:val="-7"/>
              </w:rPr>
              <w:t xml:space="preserve"> </w:t>
            </w:r>
            <w:r>
              <w:t>A:131, GLN D:75</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i/>
                <w:w w:val="95"/>
                <w:sz w:val="22"/>
              </w:rPr>
            </w:pPr>
          </w:p>
        </w:tc>
        <w:tc>
          <w:tcPr>
            <w:tcW w:w="2550" w:type="dxa"/>
          </w:tcPr>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rPr>
                <w:b/>
              </w:rPr>
              <w:t>PRO D:78</w:t>
            </w:r>
            <w:r>
              <w:t xml:space="preserve">, </w:t>
            </w:r>
            <w:r>
              <w:rPr>
                <w:b/>
              </w:rPr>
              <w:t>PRO A:78</w:t>
            </w:r>
            <w:r>
              <w:t xml:space="preserve">, </w:t>
            </w:r>
            <w:r>
              <w:rPr>
                <w:b/>
              </w:rPr>
              <w:t xml:space="preserve">LEU A:79, </w:t>
            </w:r>
            <w:r>
              <w:t>LEU A:124, PHE D:128</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B41307">
              <w:rPr>
                <w:i/>
                <w:sz w:val="22"/>
                <w:szCs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val="restart"/>
          </w:tcPr>
          <w:p w:rsidR="007A6DB9" w:rsidRPr="00B41307" w:rsidRDefault="007A6DB9" w:rsidP="00821ADA">
            <w:pPr>
              <w:jc w:val="center"/>
              <w:rPr>
                <w:b w:val="0"/>
                <w:sz w:val="22"/>
                <w:szCs w:val="22"/>
              </w:rPr>
            </w:pPr>
            <w:r w:rsidRPr="00B41307">
              <w:rPr>
                <w:b w:val="0"/>
                <w:sz w:val="22"/>
                <w:szCs w:val="22"/>
              </w:rPr>
              <w:t>MMP7</w:t>
            </w: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sz w:val="22"/>
                <w:szCs w:val="22"/>
              </w:rPr>
              <w:t>Narigenin</w:t>
            </w:r>
          </w:p>
        </w:tc>
        <w:tc>
          <w:tcPr>
            <w:tcW w:w="2550" w:type="dxa"/>
          </w:tcPr>
          <w:p w:rsidR="00B41307" w:rsidRDefault="00B41307" w:rsidP="00B41307">
            <w:pPr>
              <w:spacing w:before="11" w:line="234" w:lineRule="exact"/>
              <w:jc w:val="both"/>
              <w:cnfStyle w:val="000000000000" w:firstRow="0" w:lastRow="0" w:firstColumn="0" w:lastColumn="0" w:oddVBand="0" w:evenVBand="0" w:oddHBand="0" w:evenHBand="0" w:firstRowFirstColumn="0" w:firstRowLastColumn="0" w:lastRowFirstColumn="0" w:lastRowLastColumn="0"/>
            </w:pPr>
            <w:r>
              <w:t>TYR</w:t>
            </w:r>
            <w:r>
              <w:rPr>
                <w:spacing w:val="-2"/>
              </w:rPr>
              <w:t xml:space="preserve"> </w:t>
            </w:r>
            <w:r>
              <w:t>A:233,</w:t>
            </w:r>
            <w:r>
              <w:rPr>
                <w:spacing w:val="-1"/>
              </w:rPr>
              <w:t xml:space="preserve"> </w:t>
            </w:r>
            <w:r>
              <w:t>HIS</w:t>
            </w:r>
            <w:r>
              <w:rPr>
                <w:spacing w:val="-1"/>
              </w:rPr>
              <w:t xml:space="preserve"> </w:t>
            </w:r>
            <w:r>
              <w:rPr>
                <w:spacing w:val="-2"/>
              </w:rPr>
              <w:t>A:214,</w:t>
            </w:r>
          </w:p>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b/>
              </w:rPr>
              <w:t>THR</w:t>
            </w:r>
            <w:r>
              <w:rPr>
                <w:b/>
                <w:spacing w:val="-6"/>
              </w:rPr>
              <w:t xml:space="preserve"> </w:t>
            </w:r>
            <w:r>
              <w:rPr>
                <w:b/>
                <w:spacing w:val="-2"/>
              </w:rPr>
              <w:t>A:175</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7A6DB9" w:rsidRPr="00B41307" w:rsidRDefault="00B41307" w:rsidP="00B41307">
            <w:pPr>
              <w:jc w:val="both"/>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B41307">
              <w:rPr>
                <w:i/>
                <w:sz w:val="22"/>
                <w:szCs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i/>
                <w:w w:val="95"/>
                <w:sz w:val="22"/>
              </w:rPr>
              <w:t>Doxorubicin</w:t>
            </w:r>
          </w:p>
        </w:tc>
        <w:tc>
          <w:tcPr>
            <w:tcW w:w="2550" w:type="dxa"/>
          </w:tcPr>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spacing w:val="-4"/>
              </w:rPr>
              <w:t>PRO</w:t>
            </w:r>
            <w:r>
              <w:t xml:space="preserve"> </w:t>
            </w:r>
            <w:r>
              <w:rPr>
                <w:spacing w:val="-2"/>
              </w:rPr>
              <w:t>A:168,</w:t>
            </w:r>
            <w:r>
              <w:t xml:space="preserve"> </w:t>
            </w:r>
            <w:r>
              <w:rPr>
                <w:spacing w:val="-4"/>
              </w:rPr>
              <w:t>TYR</w:t>
            </w:r>
            <w:r>
              <w:t xml:space="preserve"> A:167,</w:t>
            </w:r>
            <w:r>
              <w:rPr>
                <w:spacing w:val="45"/>
              </w:rPr>
              <w:t xml:space="preserve">  </w:t>
            </w:r>
            <w:r>
              <w:rPr>
                <w:b/>
              </w:rPr>
              <w:t>THR</w:t>
            </w:r>
            <w:r>
              <w:rPr>
                <w:b/>
                <w:spacing w:val="45"/>
              </w:rPr>
              <w:t xml:space="preserve"> </w:t>
            </w:r>
            <w:r>
              <w:rPr>
                <w:b/>
                <w:spacing w:val="-2"/>
              </w:rPr>
              <w:t>A:175</w:t>
            </w:r>
            <w:r>
              <w:rPr>
                <w:spacing w:val="-2"/>
              </w:rPr>
              <w:t>, GLN A:215</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B41307" w:rsidRDefault="007A6DB9" w:rsidP="00821ADA">
            <w:pPr>
              <w:jc w:val="center"/>
              <w:rPr>
                <w:b w:val="0"/>
                <w:sz w:val="22"/>
                <w:szCs w:val="22"/>
              </w:rPr>
            </w:pPr>
          </w:p>
        </w:tc>
        <w:tc>
          <w:tcPr>
            <w:tcW w:w="2549" w:type="dxa"/>
            <w:vMerge/>
          </w:tcPr>
          <w:p w:rsidR="007A6DB9" w:rsidRPr="00821ADA" w:rsidRDefault="007A6DB9" w:rsidP="00821ADA">
            <w:pPr>
              <w:jc w:val="center"/>
              <w:cnfStyle w:val="000000100000" w:firstRow="0" w:lastRow="0" w:firstColumn="0" w:lastColumn="0" w:oddVBand="0" w:evenVBand="0" w:oddHBand="1" w:evenHBand="0" w:firstRowFirstColumn="0" w:firstRowLastColumn="0" w:lastRowFirstColumn="0" w:lastRowLastColumn="0"/>
              <w:rPr>
                <w:i/>
                <w:w w:val="95"/>
                <w:sz w:val="22"/>
              </w:rPr>
            </w:pPr>
          </w:p>
        </w:tc>
        <w:tc>
          <w:tcPr>
            <w:tcW w:w="2550" w:type="dxa"/>
          </w:tcPr>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t>TYR A:167, LEU</w:t>
            </w:r>
            <w:r>
              <w:rPr>
                <w:spacing w:val="40"/>
              </w:rPr>
              <w:t xml:space="preserve"> </w:t>
            </w:r>
            <w:r>
              <w:t>A:176, HIS A:178</w:t>
            </w:r>
          </w:p>
        </w:tc>
        <w:tc>
          <w:tcPr>
            <w:tcW w:w="2550" w:type="dxa"/>
          </w:tcPr>
          <w:p w:rsidR="007A6DB9" w:rsidRPr="00B41307"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B41307">
              <w:rPr>
                <w:i/>
                <w:spacing w:val="-2"/>
                <w:sz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val="restart"/>
          </w:tcPr>
          <w:p w:rsidR="007A6DB9" w:rsidRPr="00B41307" w:rsidRDefault="007A6DB9" w:rsidP="00821ADA">
            <w:pPr>
              <w:jc w:val="center"/>
              <w:rPr>
                <w:b w:val="0"/>
                <w:sz w:val="22"/>
                <w:szCs w:val="22"/>
              </w:rPr>
            </w:pPr>
            <w:r w:rsidRPr="00B41307">
              <w:rPr>
                <w:b w:val="0"/>
                <w:sz w:val="22"/>
                <w:szCs w:val="22"/>
              </w:rPr>
              <w:t>Dvl-2</w:t>
            </w: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sz w:val="22"/>
                <w:szCs w:val="22"/>
              </w:rPr>
              <w:t>Narigenin</w:t>
            </w:r>
          </w:p>
        </w:tc>
        <w:tc>
          <w:tcPr>
            <w:tcW w:w="2550" w:type="dxa"/>
          </w:tcPr>
          <w:p w:rsidR="00B41307" w:rsidRDefault="00B41307" w:rsidP="00B41307">
            <w:pPr>
              <w:jc w:val="both"/>
              <w:cnfStyle w:val="000000000000" w:firstRow="0" w:lastRow="0" w:firstColumn="0" w:lastColumn="0" w:oddVBand="0" w:evenVBand="0" w:oddHBand="0" w:evenHBand="0" w:firstRowFirstColumn="0" w:firstRowLastColumn="0" w:lastRowFirstColumn="0" w:lastRowLastColumn="0"/>
            </w:pPr>
            <w:r>
              <w:t>GLY</w:t>
            </w:r>
            <w:r>
              <w:rPr>
                <w:spacing w:val="-12"/>
              </w:rPr>
              <w:t xml:space="preserve"> </w:t>
            </w:r>
            <w:r>
              <w:t>A:314,</w:t>
            </w:r>
            <w:r>
              <w:rPr>
                <w:spacing w:val="-11"/>
              </w:rPr>
              <w:t xml:space="preserve"> </w:t>
            </w:r>
            <w:r>
              <w:t>GLY</w:t>
            </w:r>
            <w:r>
              <w:rPr>
                <w:spacing w:val="-11"/>
              </w:rPr>
              <w:t xml:space="preserve"> </w:t>
            </w:r>
            <w:r>
              <w:t xml:space="preserve">B:314, ILE B:296, LYS B:359; </w:t>
            </w:r>
          </w:p>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rPr>
                <w:b/>
              </w:rPr>
              <w:t>TRP A:358</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821ADA" w:rsidRDefault="007A6DB9" w:rsidP="00821ADA">
            <w:pPr>
              <w:jc w:val="center"/>
              <w:rPr>
                <w:sz w:val="22"/>
                <w:szCs w:val="22"/>
              </w:rPr>
            </w:pPr>
          </w:p>
        </w:tc>
        <w:tc>
          <w:tcPr>
            <w:tcW w:w="2549" w:type="dxa"/>
            <w:vMerge/>
          </w:tcPr>
          <w:p w:rsidR="007A6DB9" w:rsidRPr="00821ADA" w:rsidRDefault="007A6DB9" w:rsidP="00821ADA">
            <w:pPr>
              <w:cnfStyle w:val="000000100000" w:firstRow="0" w:lastRow="0" w:firstColumn="0" w:lastColumn="0" w:oddVBand="0" w:evenVBand="0" w:oddHBand="1" w:evenHBand="0" w:firstRowFirstColumn="0" w:firstRowLastColumn="0" w:lastRowFirstColumn="0" w:lastRowLastColumn="0"/>
              <w:rPr>
                <w:sz w:val="22"/>
                <w:szCs w:val="22"/>
              </w:rPr>
            </w:pPr>
          </w:p>
        </w:tc>
        <w:tc>
          <w:tcPr>
            <w:tcW w:w="2550" w:type="dxa"/>
          </w:tcPr>
          <w:p w:rsidR="007A6DB9" w:rsidRPr="00821ADA" w:rsidRDefault="00B41307" w:rsidP="00B41307">
            <w:pPr>
              <w:jc w:val="both"/>
              <w:cnfStyle w:val="000000100000" w:firstRow="0" w:lastRow="0" w:firstColumn="0" w:lastColumn="0" w:oddVBand="0" w:evenVBand="0" w:oddHBand="1" w:evenHBand="0" w:firstRowFirstColumn="0" w:firstRowLastColumn="0" w:lastRowFirstColumn="0" w:lastRowLastColumn="0"/>
              <w:rPr>
                <w:sz w:val="22"/>
                <w:szCs w:val="22"/>
              </w:rPr>
            </w:pPr>
            <w:r>
              <w:rPr>
                <w:b/>
                <w:position w:val="2"/>
              </w:rPr>
              <w:t>Val</w:t>
            </w:r>
            <w:r>
              <w:rPr>
                <w:b/>
                <w:spacing w:val="-6"/>
                <w:position w:val="2"/>
              </w:rPr>
              <w:t xml:space="preserve"> </w:t>
            </w:r>
            <w:r>
              <w:rPr>
                <w:b/>
                <w:spacing w:val="-2"/>
                <w:position w:val="2"/>
              </w:rPr>
              <w:t>A:283</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sidRPr="00B41307">
              <w:rPr>
                <w:i/>
                <w:spacing w:val="-2"/>
                <w:sz w:val="22"/>
              </w:rPr>
              <w:t>Alkyl</w:t>
            </w:r>
          </w:p>
        </w:tc>
      </w:tr>
      <w:tr w:rsidR="007A6DB9" w:rsidRPr="00821ADA" w:rsidTr="00B41307">
        <w:tc>
          <w:tcPr>
            <w:cnfStyle w:val="001000000000" w:firstRow="0" w:lastRow="0" w:firstColumn="1" w:lastColumn="0" w:oddVBand="0" w:evenVBand="0" w:oddHBand="0" w:evenHBand="0" w:firstRowFirstColumn="0" w:firstRowLastColumn="0" w:lastRowFirstColumn="0" w:lastRowLastColumn="0"/>
            <w:tcW w:w="2548" w:type="dxa"/>
            <w:vMerge/>
          </w:tcPr>
          <w:p w:rsidR="007A6DB9" w:rsidRPr="00821ADA" w:rsidRDefault="007A6DB9" w:rsidP="00821ADA">
            <w:pPr>
              <w:rPr>
                <w:sz w:val="22"/>
                <w:szCs w:val="22"/>
              </w:rPr>
            </w:pPr>
          </w:p>
        </w:tc>
        <w:tc>
          <w:tcPr>
            <w:tcW w:w="2549" w:type="dxa"/>
            <w:vMerge w:val="restart"/>
          </w:tcPr>
          <w:p w:rsidR="007A6DB9" w:rsidRPr="00821ADA" w:rsidRDefault="007A6DB9" w:rsidP="00821AD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21ADA">
              <w:rPr>
                <w:i/>
                <w:w w:val="95"/>
                <w:sz w:val="22"/>
              </w:rPr>
              <w:t>Doxorubicin</w:t>
            </w:r>
          </w:p>
        </w:tc>
        <w:tc>
          <w:tcPr>
            <w:tcW w:w="2550" w:type="dxa"/>
          </w:tcPr>
          <w:p w:rsidR="007A6DB9" w:rsidRPr="00821ADA" w:rsidRDefault="00B41307" w:rsidP="00B41307">
            <w:pPr>
              <w:jc w:val="both"/>
              <w:cnfStyle w:val="000000000000" w:firstRow="0" w:lastRow="0" w:firstColumn="0" w:lastColumn="0" w:oddVBand="0" w:evenVBand="0" w:oddHBand="0" w:evenHBand="0" w:firstRowFirstColumn="0" w:firstRowLastColumn="0" w:lastRowFirstColumn="0" w:lastRowLastColumn="0"/>
              <w:rPr>
                <w:sz w:val="22"/>
                <w:szCs w:val="22"/>
              </w:rPr>
            </w:pPr>
            <w:r>
              <w:t>GLY</w:t>
            </w:r>
            <w:r>
              <w:rPr>
                <w:spacing w:val="-6"/>
              </w:rPr>
              <w:t xml:space="preserve"> </w:t>
            </w:r>
            <w:r>
              <w:rPr>
                <w:spacing w:val="-2"/>
              </w:rPr>
              <w:t>A:297</w:t>
            </w:r>
          </w:p>
        </w:tc>
        <w:tc>
          <w:tcPr>
            <w:tcW w:w="2550" w:type="dxa"/>
          </w:tcPr>
          <w:p w:rsidR="007A6DB9" w:rsidRPr="00821ADA" w:rsidRDefault="00B41307" w:rsidP="00821ADA">
            <w:pPr>
              <w:cnfStyle w:val="000000000000" w:firstRow="0" w:lastRow="0" w:firstColumn="0" w:lastColumn="0" w:oddVBand="0" w:evenVBand="0" w:oddHBand="0" w:evenHBand="0" w:firstRowFirstColumn="0" w:firstRowLastColumn="0" w:lastRowFirstColumn="0" w:lastRowLastColumn="0"/>
              <w:rPr>
                <w:i/>
                <w:sz w:val="22"/>
                <w:szCs w:val="22"/>
              </w:rPr>
            </w:pPr>
            <w:r w:rsidRPr="00821ADA">
              <w:rPr>
                <w:i/>
                <w:sz w:val="22"/>
                <w:szCs w:val="22"/>
              </w:rPr>
              <w:t>Conventional hydrogen bond</w:t>
            </w:r>
          </w:p>
        </w:tc>
      </w:tr>
      <w:tr w:rsidR="007A6DB9" w:rsidRPr="00821ADA" w:rsidTr="00B41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vMerge/>
          </w:tcPr>
          <w:p w:rsidR="007A6DB9" w:rsidRPr="00821ADA" w:rsidRDefault="007A6DB9" w:rsidP="00821ADA">
            <w:pPr>
              <w:rPr>
                <w:sz w:val="22"/>
                <w:szCs w:val="22"/>
              </w:rPr>
            </w:pPr>
          </w:p>
        </w:tc>
        <w:tc>
          <w:tcPr>
            <w:tcW w:w="2549" w:type="dxa"/>
            <w:vMerge/>
          </w:tcPr>
          <w:p w:rsidR="007A6DB9" w:rsidRPr="00821ADA" w:rsidRDefault="007A6DB9" w:rsidP="00821ADA">
            <w:pPr>
              <w:jc w:val="center"/>
              <w:cnfStyle w:val="000000100000" w:firstRow="0" w:lastRow="0" w:firstColumn="0" w:lastColumn="0" w:oddVBand="0" w:evenVBand="0" w:oddHBand="1" w:evenHBand="0" w:firstRowFirstColumn="0" w:firstRowLastColumn="0" w:lastRowFirstColumn="0" w:lastRowLastColumn="0"/>
              <w:rPr>
                <w:i/>
                <w:w w:val="95"/>
                <w:sz w:val="22"/>
              </w:rPr>
            </w:pPr>
          </w:p>
        </w:tc>
        <w:tc>
          <w:tcPr>
            <w:tcW w:w="2550" w:type="dxa"/>
          </w:tcPr>
          <w:p w:rsidR="007A6DB9" w:rsidRDefault="00B41307" w:rsidP="00B41307">
            <w:pPr>
              <w:jc w:val="both"/>
              <w:cnfStyle w:val="000000100000" w:firstRow="0" w:lastRow="0" w:firstColumn="0" w:lastColumn="0" w:oddVBand="0" w:evenVBand="0" w:oddHBand="1" w:evenHBand="0" w:firstRowFirstColumn="0" w:firstRowLastColumn="0" w:lastRowFirstColumn="0" w:lastRowLastColumn="0"/>
              <w:rPr>
                <w:spacing w:val="-2"/>
              </w:rPr>
            </w:pPr>
            <w:r>
              <w:rPr>
                <w:spacing w:val="-2"/>
              </w:rPr>
              <w:t>VAL</w:t>
            </w:r>
            <w:r>
              <w:rPr>
                <w:spacing w:val="-8"/>
              </w:rPr>
              <w:t xml:space="preserve"> </w:t>
            </w:r>
            <w:r>
              <w:rPr>
                <w:spacing w:val="-2"/>
              </w:rPr>
              <w:t>B:283,</w:t>
            </w:r>
            <w:r>
              <w:rPr>
                <w:spacing w:val="-9"/>
              </w:rPr>
              <w:t xml:space="preserve"> </w:t>
            </w:r>
            <w:r>
              <w:rPr>
                <w:spacing w:val="-2"/>
              </w:rPr>
              <w:t>TRP</w:t>
            </w:r>
            <w:r>
              <w:rPr>
                <w:spacing w:val="-8"/>
              </w:rPr>
              <w:t xml:space="preserve"> </w:t>
            </w:r>
            <w:r>
              <w:rPr>
                <w:spacing w:val="-2"/>
              </w:rPr>
              <w:t>A:358,</w:t>
            </w:r>
          </w:p>
          <w:p w:rsidR="00B41307" w:rsidRPr="00B41307" w:rsidRDefault="00B41307" w:rsidP="00B41307">
            <w:pPr>
              <w:jc w:val="both"/>
              <w:cnfStyle w:val="000000100000" w:firstRow="0" w:lastRow="0" w:firstColumn="0" w:lastColumn="0" w:oddVBand="0" w:evenVBand="0" w:oddHBand="1" w:evenHBand="0" w:firstRowFirstColumn="0" w:firstRowLastColumn="0" w:lastRowFirstColumn="0" w:lastRowLastColumn="0"/>
              <w:rPr>
                <w:b/>
                <w:sz w:val="22"/>
                <w:szCs w:val="22"/>
              </w:rPr>
            </w:pPr>
            <w:r w:rsidRPr="00B41307">
              <w:rPr>
                <w:b/>
                <w:spacing w:val="-2"/>
              </w:rPr>
              <w:t>VAL A:283</w:t>
            </w:r>
          </w:p>
        </w:tc>
        <w:tc>
          <w:tcPr>
            <w:tcW w:w="2550" w:type="dxa"/>
          </w:tcPr>
          <w:p w:rsidR="007A6DB9" w:rsidRPr="00821ADA" w:rsidRDefault="00B41307" w:rsidP="00821ADA">
            <w:pPr>
              <w:cnfStyle w:val="000000100000" w:firstRow="0" w:lastRow="0" w:firstColumn="0" w:lastColumn="0" w:oddVBand="0" w:evenVBand="0" w:oddHBand="1" w:evenHBand="0" w:firstRowFirstColumn="0" w:firstRowLastColumn="0" w:lastRowFirstColumn="0" w:lastRowLastColumn="0"/>
              <w:rPr>
                <w:i/>
                <w:sz w:val="22"/>
                <w:szCs w:val="22"/>
              </w:rPr>
            </w:pPr>
            <w:r>
              <w:rPr>
                <w:i/>
                <w:sz w:val="22"/>
                <w:szCs w:val="22"/>
              </w:rPr>
              <w:t>Alkyl</w:t>
            </w:r>
          </w:p>
        </w:tc>
      </w:tr>
    </w:tbl>
    <w:p w:rsidR="00821ADA" w:rsidRPr="00821ADA" w:rsidRDefault="00821ADA" w:rsidP="00821ADA">
      <w:pPr>
        <w:jc w:val="both"/>
        <w:rPr>
          <w:sz w:val="22"/>
        </w:rPr>
      </w:pPr>
      <w:r w:rsidRPr="00821ADA">
        <w:rPr>
          <w:sz w:val="22"/>
        </w:rPr>
        <w:t>Keterangan: Cetak tebal = kesamaan residu senyawa dan kontrol</w:t>
      </w:r>
    </w:p>
    <w:p w:rsidR="00316752" w:rsidRPr="00821ADA" w:rsidRDefault="00821ADA" w:rsidP="00821ADA">
      <w:pPr>
        <w:tabs>
          <w:tab w:val="left" w:pos="2142"/>
        </w:tabs>
        <w:rPr>
          <w:sz w:val="22"/>
          <w:szCs w:val="22"/>
        </w:rPr>
        <w:sectPr w:rsidR="00316752" w:rsidRPr="00821ADA" w:rsidSect="0051620C">
          <w:footerReference w:type="first" r:id="rId27"/>
          <w:pgSz w:w="11907" w:h="16840" w:code="9"/>
          <w:pgMar w:top="1138" w:right="850" w:bottom="1138" w:left="850" w:header="1138" w:footer="1138" w:gutter="0"/>
          <w:pgNumType w:start="1"/>
          <w:cols w:space="720"/>
          <w:titlePg/>
          <w:docGrid w:linePitch="360"/>
        </w:sectPr>
      </w:pPr>
      <w:r w:rsidRPr="00821ADA">
        <w:rPr>
          <w:sz w:val="22"/>
          <w:szCs w:val="22"/>
        </w:rPr>
        <w:tab/>
      </w:r>
    </w:p>
    <w:p w:rsidR="007A6DB9" w:rsidRPr="00821ADA" w:rsidRDefault="00316752" w:rsidP="00821ADA">
      <w:pPr>
        <w:ind w:firstLine="720"/>
        <w:jc w:val="both"/>
        <w:rPr>
          <w:sz w:val="22"/>
          <w:szCs w:val="22"/>
        </w:rPr>
      </w:pPr>
      <w:r w:rsidRPr="00821ADA">
        <w:rPr>
          <w:sz w:val="22"/>
          <w:szCs w:val="22"/>
        </w:rPr>
        <w:t xml:space="preserve">Senyawa Naringenin ditemukan mampu berikatan dan memiliki residu asam amino yang </w:t>
      </w:r>
      <w:proofErr w:type="gramStart"/>
      <w:r w:rsidRPr="00821ADA">
        <w:rPr>
          <w:sz w:val="22"/>
          <w:szCs w:val="22"/>
        </w:rPr>
        <w:t>sama</w:t>
      </w:r>
      <w:proofErr w:type="gramEnd"/>
      <w:r w:rsidRPr="00821ADA">
        <w:rPr>
          <w:sz w:val="22"/>
          <w:szCs w:val="22"/>
        </w:rPr>
        <w:t xml:space="preserve"> dengan Doxorubicin pada reseptor FZD-2, FZD-3 dan protein target PI3K yang diprediksi bisa menekan perkembangan kanker payudara. Hal ini diduga karena senyawa Naringenin bisa menginhibisi Wnt5a signaling pathway melalui ikatannya dengan reseptor dan protein target protein. Penemuan ini selaras dengan penelitian Zhao et al. (2019) yang menunjukkan bahwa senyawa Naringenin memiliki efek antikanker pada sel MDA- MB-231 dengan menghentikan perkembangan sel pada fase G0/G1.</w:t>
      </w:r>
    </w:p>
    <w:p w:rsidR="00821ADA" w:rsidRPr="00821ADA" w:rsidRDefault="00821ADA" w:rsidP="00821ADA">
      <w:pPr>
        <w:jc w:val="both"/>
        <w:rPr>
          <w:sz w:val="22"/>
          <w:szCs w:val="22"/>
        </w:rPr>
      </w:pPr>
    </w:p>
    <w:p w:rsidR="00821ADA" w:rsidRPr="00821ADA" w:rsidRDefault="00821ADA" w:rsidP="00821ADA">
      <w:pPr>
        <w:jc w:val="both"/>
        <w:rPr>
          <w:b/>
          <w:bCs/>
          <w:sz w:val="22"/>
          <w:szCs w:val="22"/>
        </w:rPr>
      </w:pPr>
      <w:r w:rsidRPr="00821ADA">
        <w:rPr>
          <w:b/>
          <w:bCs/>
          <w:sz w:val="22"/>
          <w:szCs w:val="22"/>
        </w:rPr>
        <w:t>3.7 Hasil HOMO LUMO</w:t>
      </w:r>
    </w:p>
    <w:p w:rsidR="00821ADA" w:rsidRPr="00821ADA" w:rsidRDefault="00821ADA" w:rsidP="00821ADA">
      <w:pPr>
        <w:ind w:firstLine="720"/>
        <w:jc w:val="both"/>
        <w:rPr>
          <w:sz w:val="22"/>
          <w:szCs w:val="22"/>
        </w:rPr>
      </w:pPr>
      <w:r w:rsidRPr="00821ADA">
        <w:rPr>
          <w:sz w:val="22"/>
          <w:szCs w:val="22"/>
        </w:rPr>
        <w:t>Hasil analisis HOMO LUMO senyawa Naringenin menunjukan bahwa senyawa Naringenin memiliki nilai gap yang lebih besar dari Doxorubicin (Tabel 6).Hal tersebut menunjukkan bahwa senyawa Naringenin memiliki jarak antar protein yang lebih besar, reaktivitas yang rendah dan bersifat stabil sehingga proses pengobatan dapat berlangsung lebih lama dibandingkan Doxorubicin (Chidan et al., 2014). Selanjutnya, nilai momen dipol senyawa Naringenin yang lebih kecil dari Doxorubicin menunjukkan bahwa senyawa Naringenin memiliki kemampuan interaksi yang lebih baik dengan target intrasel dan dapat menembusmembran sel target dengan baik jika dibandingkan dengan Doxorubicin (Schwartzet al., 2009).</w:t>
      </w:r>
    </w:p>
    <w:p w:rsidR="00821ADA" w:rsidRPr="00821ADA" w:rsidRDefault="00821ADA" w:rsidP="00821ADA">
      <w:pPr>
        <w:jc w:val="both"/>
        <w:rPr>
          <w:sz w:val="22"/>
          <w:szCs w:val="22"/>
        </w:rPr>
        <w:sectPr w:rsidR="00821ADA" w:rsidRPr="00821ADA" w:rsidSect="00316752">
          <w:type w:val="continuous"/>
          <w:pgSz w:w="11907" w:h="16840" w:code="9"/>
          <w:pgMar w:top="1138" w:right="850" w:bottom="1138" w:left="850" w:header="1138" w:footer="1138" w:gutter="0"/>
          <w:pgNumType w:start="1"/>
          <w:cols w:num="2" w:space="720"/>
          <w:titlePg/>
          <w:docGrid w:linePitch="360"/>
        </w:sectPr>
      </w:pPr>
    </w:p>
    <w:p w:rsidR="00821ADA" w:rsidRPr="00821ADA" w:rsidRDefault="00821ADA" w:rsidP="00821ADA">
      <w:pPr>
        <w:jc w:val="center"/>
        <w:rPr>
          <w:b/>
          <w:bCs/>
          <w:i/>
          <w:iCs/>
          <w:sz w:val="22"/>
          <w:szCs w:val="22"/>
        </w:rPr>
      </w:pPr>
      <w:r w:rsidRPr="00821ADA">
        <w:rPr>
          <w:b/>
          <w:bCs/>
          <w:sz w:val="22"/>
          <w:szCs w:val="22"/>
        </w:rPr>
        <w:t>Tabel 6. Hasil Asalisis HOMO LUMO</w:t>
      </w:r>
    </w:p>
    <w:tbl>
      <w:tblPr>
        <w:tblW w:w="0" w:type="auto"/>
        <w:tblInd w:w="903" w:type="dxa"/>
        <w:tblLayout w:type="fixed"/>
        <w:tblCellMar>
          <w:left w:w="0" w:type="dxa"/>
          <w:right w:w="0" w:type="dxa"/>
        </w:tblCellMar>
        <w:tblLook w:val="01E0" w:firstRow="1" w:lastRow="1" w:firstColumn="1" w:lastColumn="1" w:noHBand="0" w:noVBand="0"/>
      </w:tblPr>
      <w:tblGrid>
        <w:gridCol w:w="727"/>
        <w:gridCol w:w="1626"/>
        <w:gridCol w:w="1381"/>
        <w:gridCol w:w="1421"/>
        <w:gridCol w:w="1560"/>
        <w:gridCol w:w="1695"/>
      </w:tblGrid>
      <w:tr w:rsidR="00821ADA" w:rsidRPr="00821ADA" w:rsidTr="00B41307">
        <w:trPr>
          <w:trHeight w:val="352"/>
        </w:trPr>
        <w:tc>
          <w:tcPr>
            <w:tcW w:w="727" w:type="dxa"/>
            <w:tcBorders>
              <w:top w:val="single" w:sz="4" w:space="0" w:color="000000"/>
              <w:bottom w:val="single" w:sz="4" w:space="0" w:color="000000"/>
            </w:tcBorders>
          </w:tcPr>
          <w:p w:rsidR="00821ADA" w:rsidRPr="00821ADA" w:rsidRDefault="00821ADA" w:rsidP="00821ADA">
            <w:pPr>
              <w:pStyle w:val="TableParagraph"/>
              <w:spacing w:line="234" w:lineRule="exact"/>
              <w:ind w:left="57"/>
              <w:rPr>
                <w:rFonts w:ascii="Times New Roman" w:hAnsi="Times New Roman" w:cs="Times New Roman"/>
                <w:w w:val="97"/>
              </w:rPr>
            </w:pPr>
            <w:r w:rsidRPr="00821ADA">
              <w:rPr>
                <w:rFonts w:ascii="Times New Roman" w:hAnsi="Times New Roman" w:cs="Times New Roman"/>
                <w:w w:val="97"/>
              </w:rPr>
              <w:t>No</w:t>
            </w:r>
          </w:p>
        </w:tc>
        <w:tc>
          <w:tcPr>
            <w:tcW w:w="1626" w:type="dxa"/>
            <w:tcBorders>
              <w:top w:val="single" w:sz="4" w:space="0" w:color="000000"/>
              <w:bottom w:val="single" w:sz="4" w:space="0" w:color="000000"/>
            </w:tcBorders>
          </w:tcPr>
          <w:p w:rsidR="00821ADA" w:rsidRPr="00821ADA" w:rsidRDefault="00821ADA" w:rsidP="00821ADA">
            <w:pPr>
              <w:pStyle w:val="TableParagraph"/>
              <w:spacing w:line="234" w:lineRule="exact"/>
              <w:ind w:left="175" w:right="261"/>
              <w:rPr>
                <w:rFonts w:ascii="Times New Roman" w:hAnsi="Times New Roman" w:cs="Times New Roman"/>
              </w:rPr>
            </w:pPr>
            <w:r w:rsidRPr="00821ADA">
              <w:rPr>
                <w:rFonts w:ascii="Times New Roman" w:hAnsi="Times New Roman" w:cs="Times New Roman"/>
              </w:rPr>
              <w:t>Senyawa</w:t>
            </w:r>
          </w:p>
        </w:tc>
        <w:tc>
          <w:tcPr>
            <w:tcW w:w="1381" w:type="dxa"/>
            <w:tcBorders>
              <w:top w:val="single" w:sz="4" w:space="0" w:color="000000"/>
              <w:bottom w:val="single" w:sz="4" w:space="0" w:color="000000"/>
            </w:tcBorders>
          </w:tcPr>
          <w:p w:rsidR="00821ADA" w:rsidRPr="00821ADA" w:rsidRDefault="00821ADA" w:rsidP="00821ADA">
            <w:pPr>
              <w:pStyle w:val="TableParagraph"/>
              <w:spacing w:line="234" w:lineRule="exact"/>
              <w:ind w:left="273" w:right="296"/>
              <w:rPr>
                <w:rFonts w:ascii="Times New Roman" w:hAnsi="Times New Roman" w:cs="Times New Roman"/>
              </w:rPr>
            </w:pPr>
            <w:r w:rsidRPr="00821ADA">
              <w:rPr>
                <w:rFonts w:ascii="Times New Roman" w:hAnsi="Times New Roman" w:cs="Times New Roman"/>
              </w:rPr>
              <w:t>HOMO (eV)</w:t>
            </w:r>
          </w:p>
        </w:tc>
        <w:tc>
          <w:tcPr>
            <w:tcW w:w="1421" w:type="dxa"/>
            <w:tcBorders>
              <w:top w:val="single" w:sz="4" w:space="0" w:color="000000"/>
              <w:bottom w:val="single" w:sz="4" w:space="0" w:color="000000"/>
            </w:tcBorders>
          </w:tcPr>
          <w:p w:rsidR="00821ADA" w:rsidRPr="00821ADA" w:rsidRDefault="00821ADA" w:rsidP="00821ADA">
            <w:pPr>
              <w:pStyle w:val="TableParagraph"/>
              <w:spacing w:line="234" w:lineRule="exact"/>
              <w:ind w:left="308" w:right="300"/>
              <w:rPr>
                <w:rFonts w:ascii="Times New Roman" w:hAnsi="Times New Roman" w:cs="Times New Roman"/>
              </w:rPr>
            </w:pPr>
            <w:r w:rsidRPr="00821ADA">
              <w:rPr>
                <w:rFonts w:ascii="Times New Roman" w:hAnsi="Times New Roman" w:cs="Times New Roman"/>
              </w:rPr>
              <w:t>LUMO (eV)</w:t>
            </w:r>
          </w:p>
        </w:tc>
        <w:tc>
          <w:tcPr>
            <w:tcW w:w="1560" w:type="dxa"/>
            <w:tcBorders>
              <w:top w:val="single" w:sz="4" w:space="0" w:color="000000"/>
              <w:bottom w:val="single" w:sz="4" w:space="0" w:color="000000"/>
            </w:tcBorders>
          </w:tcPr>
          <w:p w:rsidR="00821ADA" w:rsidRPr="00821ADA" w:rsidRDefault="00821ADA" w:rsidP="00821ADA">
            <w:pPr>
              <w:pStyle w:val="TableParagraph"/>
              <w:spacing w:line="234" w:lineRule="exact"/>
              <w:ind w:left="-29"/>
              <w:rPr>
                <w:rFonts w:ascii="Times New Roman" w:hAnsi="Times New Roman" w:cs="Times New Roman"/>
              </w:rPr>
            </w:pPr>
            <w:r w:rsidRPr="00821ADA">
              <w:rPr>
                <w:rFonts w:ascii="Times New Roman" w:hAnsi="Times New Roman" w:cs="Times New Roman"/>
              </w:rPr>
              <w:t>Energi Gap</w:t>
            </w:r>
          </w:p>
          <w:p w:rsidR="00821ADA" w:rsidRPr="00821ADA" w:rsidRDefault="00821ADA" w:rsidP="00821ADA">
            <w:pPr>
              <w:pStyle w:val="TableParagraph"/>
              <w:spacing w:line="234" w:lineRule="exact"/>
              <w:ind w:left="430"/>
              <w:jc w:val="left"/>
              <w:rPr>
                <w:rFonts w:ascii="Times New Roman" w:hAnsi="Times New Roman" w:cs="Times New Roman"/>
              </w:rPr>
            </w:pPr>
            <w:r w:rsidRPr="00821ADA">
              <w:rPr>
                <w:rFonts w:ascii="Times New Roman" w:hAnsi="Times New Roman" w:cs="Times New Roman"/>
              </w:rPr>
              <w:t>(eV)</w:t>
            </w:r>
          </w:p>
        </w:tc>
        <w:tc>
          <w:tcPr>
            <w:tcW w:w="1695" w:type="dxa"/>
            <w:tcBorders>
              <w:top w:val="single" w:sz="4" w:space="0" w:color="000000"/>
              <w:bottom w:val="single" w:sz="4" w:space="0" w:color="000000"/>
            </w:tcBorders>
            <w:shd w:val="clear" w:color="auto" w:fill="F9D2B4"/>
          </w:tcPr>
          <w:p w:rsidR="00821ADA" w:rsidRPr="00821ADA" w:rsidRDefault="00821ADA" w:rsidP="00821ADA">
            <w:pPr>
              <w:pStyle w:val="TableParagraph"/>
              <w:spacing w:line="234" w:lineRule="exact"/>
              <w:ind w:left="127"/>
              <w:rPr>
                <w:rFonts w:ascii="Times New Roman" w:hAnsi="Times New Roman" w:cs="Times New Roman"/>
              </w:rPr>
            </w:pPr>
            <w:r w:rsidRPr="00821ADA">
              <w:rPr>
                <w:rFonts w:ascii="Times New Roman" w:hAnsi="Times New Roman" w:cs="Times New Roman"/>
              </w:rPr>
              <w:t>Momen Dipol (Debye)</w:t>
            </w:r>
          </w:p>
        </w:tc>
      </w:tr>
    </w:tbl>
    <w:p w:rsidR="0051620C" w:rsidRDefault="0051620C" w:rsidP="00821ADA">
      <w:pPr>
        <w:pStyle w:val="TableParagraph"/>
        <w:spacing w:line="234" w:lineRule="exact"/>
        <w:ind w:left="57"/>
        <w:rPr>
          <w:rFonts w:ascii="Times New Roman" w:hAnsi="Times New Roman" w:cs="Times New Roman"/>
          <w:w w:val="97"/>
        </w:rPr>
        <w:sectPr w:rsidR="0051620C" w:rsidSect="00821ADA">
          <w:type w:val="continuous"/>
          <w:pgSz w:w="11907" w:h="16840" w:code="9"/>
          <w:pgMar w:top="1138" w:right="850" w:bottom="1138" w:left="850" w:header="1138" w:footer="1138" w:gutter="0"/>
          <w:pgNumType w:start="1"/>
          <w:cols w:space="720"/>
          <w:titlePg/>
          <w:docGrid w:linePitch="360"/>
        </w:sectPr>
      </w:pPr>
    </w:p>
    <w:tbl>
      <w:tblPr>
        <w:tblW w:w="0" w:type="auto"/>
        <w:tblInd w:w="903" w:type="dxa"/>
        <w:tblLayout w:type="fixed"/>
        <w:tblCellMar>
          <w:left w:w="0" w:type="dxa"/>
          <w:right w:w="0" w:type="dxa"/>
        </w:tblCellMar>
        <w:tblLook w:val="01E0" w:firstRow="1" w:lastRow="1" w:firstColumn="1" w:lastColumn="1" w:noHBand="0" w:noVBand="0"/>
      </w:tblPr>
      <w:tblGrid>
        <w:gridCol w:w="727"/>
        <w:gridCol w:w="1626"/>
        <w:gridCol w:w="1381"/>
        <w:gridCol w:w="1421"/>
        <w:gridCol w:w="1560"/>
        <w:gridCol w:w="1695"/>
      </w:tblGrid>
      <w:tr w:rsidR="00821ADA" w:rsidRPr="00821ADA" w:rsidTr="00B41307">
        <w:trPr>
          <w:trHeight w:val="352"/>
        </w:trPr>
        <w:tc>
          <w:tcPr>
            <w:tcW w:w="727" w:type="dxa"/>
            <w:tcBorders>
              <w:top w:val="single" w:sz="4" w:space="0" w:color="000000"/>
              <w:bottom w:val="single" w:sz="4" w:space="0" w:color="000000"/>
            </w:tcBorders>
          </w:tcPr>
          <w:p w:rsidR="00821ADA" w:rsidRPr="00821ADA" w:rsidRDefault="00821ADA" w:rsidP="00821ADA">
            <w:pPr>
              <w:pStyle w:val="TableParagraph"/>
              <w:spacing w:line="234" w:lineRule="exact"/>
              <w:ind w:left="57"/>
              <w:rPr>
                <w:rFonts w:ascii="Times New Roman" w:hAnsi="Times New Roman" w:cs="Times New Roman"/>
              </w:rPr>
            </w:pPr>
            <w:r w:rsidRPr="00821ADA">
              <w:rPr>
                <w:rFonts w:ascii="Times New Roman" w:hAnsi="Times New Roman" w:cs="Times New Roman"/>
                <w:w w:val="97"/>
              </w:rPr>
              <w:lastRenderedPageBreak/>
              <w:t>1</w:t>
            </w:r>
          </w:p>
        </w:tc>
        <w:tc>
          <w:tcPr>
            <w:tcW w:w="1626" w:type="dxa"/>
            <w:tcBorders>
              <w:top w:val="single" w:sz="4" w:space="0" w:color="000000"/>
              <w:bottom w:val="single" w:sz="4" w:space="0" w:color="000000"/>
            </w:tcBorders>
          </w:tcPr>
          <w:p w:rsidR="00821ADA" w:rsidRPr="00821ADA" w:rsidRDefault="00821ADA" w:rsidP="00821ADA">
            <w:pPr>
              <w:pStyle w:val="TableParagraph"/>
              <w:spacing w:line="234" w:lineRule="exact"/>
              <w:ind w:left="264" w:right="261"/>
              <w:rPr>
                <w:rFonts w:ascii="Times New Roman" w:hAnsi="Times New Roman" w:cs="Times New Roman"/>
              </w:rPr>
            </w:pPr>
            <w:r w:rsidRPr="00821ADA">
              <w:rPr>
                <w:rFonts w:ascii="Times New Roman" w:hAnsi="Times New Roman" w:cs="Times New Roman"/>
              </w:rPr>
              <w:t>Naringenin</w:t>
            </w:r>
          </w:p>
        </w:tc>
        <w:tc>
          <w:tcPr>
            <w:tcW w:w="1381" w:type="dxa"/>
            <w:tcBorders>
              <w:top w:val="single" w:sz="4" w:space="0" w:color="000000"/>
              <w:bottom w:val="single" w:sz="4" w:space="0" w:color="000000"/>
            </w:tcBorders>
          </w:tcPr>
          <w:p w:rsidR="00821ADA" w:rsidRPr="00821ADA" w:rsidRDefault="00821ADA" w:rsidP="00821ADA">
            <w:pPr>
              <w:pStyle w:val="TableParagraph"/>
              <w:spacing w:line="234" w:lineRule="exact"/>
              <w:ind w:left="273" w:right="296"/>
              <w:rPr>
                <w:rFonts w:ascii="Times New Roman" w:hAnsi="Times New Roman" w:cs="Times New Roman"/>
              </w:rPr>
            </w:pPr>
            <w:r w:rsidRPr="00821ADA">
              <w:rPr>
                <w:rFonts w:ascii="Times New Roman" w:hAnsi="Times New Roman" w:cs="Times New Roman"/>
              </w:rPr>
              <w:t>-0.04985</w:t>
            </w:r>
          </w:p>
        </w:tc>
        <w:tc>
          <w:tcPr>
            <w:tcW w:w="1421" w:type="dxa"/>
            <w:tcBorders>
              <w:top w:val="single" w:sz="4" w:space="0" w:color="000000"/>
              <w:bottom w:val="single" w:sz="4" w:space="0" w:color="000000"/>
            </w:tcBorders>
          </w:tcPr>
          <w:p w:rsidR="00821ADA" w:rsidRPr="00821ADA" w:rsidRDefault="00821ADA" w:rsidP="00821ADA">
            <w:pPr>
              <w:pStyle w:val="TableParagraph"/>
              <w:spacing w:line="234" w:lineRule="exact"/>
              <w:ind w:left="308" w:right="300"/>
              <w:rPr>
                <w:rFonts w:ascii="Times New Roman" w:hAnsi="Times New Roman" w:cs="Times New Roman"/>
              </w:rPr>
            </w:pPr>
            <w:r w:rsidRPr="00821ADA">
              <w:rPr>
                <w:rFonts w:ascii="Times New Roman" w:hAnsi="Times New Roman" w:cs="Times New Roman"/>
              </w:rPr>
              <w:t>-0.22252</w:t>
            </w:r>
          </w:p>
        </w:tc>
        <w:tc>
          <w:tcPr>
            <w:tcW w:w="1560" w:type="dxa"/>
            <w:tcBorders>
              <w:top w:val="single" w:sz="4" w:space="0" w:color="000000"/>
              <w:bottom w:val="single" w:sz="4" w:space="0" w:color="000000"/>
            </w:tcBorders>
          </w:tcPr>
          <w:p w:rsidR="00821ADA" w:rsidRPr="00821ADA" w:rsidRDefault="00821ADA" w:rsidP="00821ADA">
            <w:pPr>
              <w:pStyle w:val="TableParagraph"/>
              <w:spacing w:line="234" w:lineRule="exact"/>
              <w:ind w:left="430"/>
              <w:jc w:val="left"/>
              <w:rPr>
                <w:rFonts w:ascii="Times New Roman" w:hAnsi="Times New Roman" w:cs="Times New Roman"/>
              </w:rPr>
            </w:pPr>
            <w:r w:rsidRPr="00821ADA">
              <w:rPr>
                <w:rFonts w:ascii="Times New Roman" w:hAnsi="Times New Roman" w:cs="Times New Roman"/>
              </w:rPr>
              <w:t>0.17267</w:t>
            </w:r>
          </w:p>
        </w:tc>
        <w:tc>
          <w:tcPr>
            <w:tcW w:w="1695" w:type="dxa"/>
            <w:tcBorders>
              <w:top w:val="single" w:sz="4" w:space="0" w:color="000000"/>
              <w:bottom w:val="single" w:sz="4" w:space="0" w:color="000000"/>
            </w:tcBorders>
            <w:shd w:val="clear" w:color="auto" w:fill="F9D2B4"/>
          </w:tcPr>
          <w:p w:rsidR="00821ADA" w:rsidRPr="00821ADA" w:rsidRDefault="00821ADA" w:rsidP="00821ADA">
            <w:pPr>
              <w:pStyle w:val="TableParagraph"/>
              <w:spacing w:line="234" w:lineRule="exact"/>
              <w:ind w:left="442"/>
              <w:jc w:val="left"/>
              <w:rPr>
                <w:rFonts w:ascii="Times New Roman" w:hAnsi="Times New Roman" w:cs="Times New Roman"/>
              </w:rPr>
            </w:pPr>
            <w:r w:rsidRPr="00821ADA">
              <w:rPr>
                <w:rFonts w:ascii="Times New Roman" w:hAnsi="Times New Roman" w:cs="Times New Roman"/>
              </w:rPr>
              <w:t>3.920255</w:t>
            </w:r>
          </w:p>
        </w:tc>
      </w:tr>
      <w:tr w:rsidR="00821ADA" w:rsidRPr="00821ADA" w:rsidTr="00B41307">
        <w:trPr>
          <w:trHeight w:val="352"/>
        </w:trPr>
        <w:tc>
          <w:tcPr>
            <w:tcW w:w="727" w:type="dxa"/>
            <w:tcBorders>
              <w:top w:val="single" w:sz="4" w:space="0" w:color="000000"/>
              <w:bottom w:val="single" w:sz="4" w:space="0" w:color="000000"/>
            </w:tcBorders>
          </w:tcPr>
          <w:p w:rsidR="00821ADA" w:rsidRPr="00821ADA" w:rsidRDefault="00821ADA" w:rsidP="00821ADA">
            <w:pPr>
              <w:pStyle w:val="TableParagraph"/>
              <w:spacing w:line="234" w:lineRule="exact"/>
              <w:ind w:left="57"/>
              <w:rPr>
                <w:rFonts w:ascii="Times New Roman" w:hAnsi="Times New Roman" w:cs="Times New Roman"/>
              </w:rPr>
            </w:pPr>
            <w:r w:rsidRPr="00821ADA">
              <w:rPr>
                <w:rFonts w:ascii="Times New Roman" w:hAnsi="Times New Roman" w:cs="Times New Roman"/>
                <w:w w:val="97"/>
              </w:rPr>
              <w:t>2</w:t>
            </w:r>
          </w:p>
        </w:tc>
        <w:tc>
          <w:tcPr>
            <w:tcW w:w="1626" w:type="dxa"/>
            <w:tcBorders>
              <w:top w:val="single" w:sz="4" w:space="0" w:color="000000"/>
              <w:bottom w:val="single" w:sz="4" w:space="0" w:color="000000"/>
            </w:tcBorders>
          </w:tcPr>
          <w:p w:rsidR="00821ADA" w:rsidRPr="00821ADA" w:rsidRDefault="00821ADA" w:rsidP="00821ADA">
            <w:pPr>
              <w:pStyle w:val="TableParagraph"/>
              <w:spacing w:line="234" w:lineRule="exact"/>
              <w:ind w:left="269" w:right="261"/>
              <w:rPr>
                <w:rFonts w:ascii="Times New Roman" w:hAnsi="Times New Roman" w:cs="Times New Roman"/>
              </w:rPr>
            </w:pPr>
            <w:r w:rsidRPr="00821ADA">
              <w:rPr>
                <w:rFonts w:ascii="Times New Roman" w:hAnsi="Times New Roman" w:cs="Times New Roman"/>
              </w:rPr>
              <w:t>Doxorubicin</w:t>
            </w:r>
          </w:p>
        </w:tc>
        <w:tc>
          <w:tcPr>
            <w:tcW w:w="1381" w:type="dxa"/>
            <w:tcBorders>
              <w:top w:val="single" w:sz="4" w:space="0" w:color="000000"/>
              <w:bottom w:val="single" w:sz="4" w:space="0" w:color="000000"/>
            </w:tcBorders>
          </w:tcPr>
          <w:p w:rsidR="00821ADA" w:rsidRPr="00821ADA" w:rsidRDefault="00821ADA" w:rsidP="00821ADA">
            <w:pPr>
              <w:pStyle w:val="TableParagraph"/>
              <w:spacing w:line="234" w:lineRule="exact"/>
              <w:ind w:left="273" w:right="296"/>
              <w:rPr>
                <w:rFonts w:ascii="Times New Roman" w:hAnsi="Times New Roman" w:cs="Times New Roman"/>
              </w:rPr>
            </w:pPr>
            <w:r w:rsidRPr="00821ADA">
              <w:rPr>
                <w:rFonts w:ascii="Times New Roman" w:hAnsi="Times New Roman" w:cs="Times New Roman"/>
              </w:rPr>
              <w:t>-0.09962</w:t>
            </w:r>
          </w:p>
        </w:tc>
        <w:tc>
          <w:tcPr>
            <w:tcW w:w="1421" w:type="dxa"/>
            <w:tcBorders>
              <w:top w:val="single" w:sz="4" w:space="0" w:color="000000"/>
              <w:bottom w:val="single" w:sz="4" w:space="0" w:color="000000"/>
            </w:tcBorders>
          </w:tcPr>
          <w:p w:rsidR="00821ADA" w:rsidRPr="00821ADA" w:rsidRDefault="00821ADA" w:rsidP="00821ADA">
            <w:pPr>
              <w:pStyle w:val="TableParagraph"/>
              <w:spacing w:line="234" w:lineRule="exact"/>
              <w:ind w:left="308" w:right="300"/>
              <w:rPr>
                <w:rFonts w:ascii="Times New Roman" w:hAnsi="Times New Roman" w:cs="Times New Roman"/>
              </w:rPr>
            </w:pPr>
            <w:r w:rsidRPr="00821ADA">
              <w:rPr>
                <w:rFonts w:ascii="Times New Roman" w:hAnsi="Times New Roman" w:cs="Times New Roman"/>
              </w:rPr>
              <w:t>-0.22757</w:t>
            </w:r>
          </w:p>
        </w:tc>
        <w:tc>
          <w:tcPr>
            <w:tcW w:w="1560" w:type="dxa"/>
            <w:tcBorders>
              <w:top w:val="single" w:sz="4" w:space="0" w:color="000000"/>
              <w:bottom w:val="single" w:sz="4" w:space="0" w:color="000000"/>
            </w:tcBorders>
            <w:shd w:val="clear" w:color="auto" w:fill="F9D2B4"/>
          </w:tcPr>
          <w:p w:rsidR="00821ADA" w:rsidRPr="00821ADA" w:rsidRDefault="00821ADA" w:rsidP="00821ADA">
            <w:pPr>
              <w:pStyle w:val="TableParagraph"/>
              <w:spacing w:line="234" w:lineRule="exact"/>
              <w:ind w:left="430"/>
              <w:jc w:val="left"/>
              <w:rPr>
                <w:rFonts w:ascii="Times New Roman" w:hAnsi="Times New Roman" w:cs="Times New Roman"/>
              </w:rPr>
            </w:pPr>
            <w:r w:rsidRPr="00821ADA">
              <w:rPr>
                <w:rFonts w:ascii="Times New Roman" w:hAnsi="Times New Roman" w:cs="Times New Roman"/>
              </w:rPr>
              <w:t>0.12795</w:t>
            </w:r>
          </w:p>
        </w:tc>
        <w:tc>
          <w:tcPr>
            <w:tcW w:w="1695" w:type="dxa"/>
            <w:tcBorders>
              <w:top w:val="single" w:sz="4" w:space="0" w:color="000000"/>
              <w:bottom w:val="single" w:sz="4" w:space="0" w:color="000000"/>
            </w:tcBorders>
          </w:tcPr>
          <w:p w:rsidR="00821ADA" w:rsidRPr="00821ADA" w:rsidRDefault="00821ADA" w:rsidP="00821ADA">
            <w:pPr>
              <w:pStyle w:val="TableParagraph"/>
              <w:spacing w:line="234" w:lineRule="exact"/>
              <w:ind w:left="442"/>
              <w:jc w:val="left"/>
              <w:rPr>
                <w:rFonts w:ascii="Times New Roman" w:hAnsi="Times New Roman" w:cs="Times New Roman"/>
              </w:rPr>
            </w:pPr>
            <w:r w:rsidRPr="00821ADA">
              <w:rPr>
                <w:rFonts w:ascii="Times New Roman" w:hAnsi="Times New Roman" w:cs="Times New Roman"/>
              </w:rPr>
              <w:t>4.111023</w:t>
            </w:r>
          </w:p>
        </w:tc>
      </w:tr>
    </w:tbl>
    <w:p w:rsidR="00821ADA" w:rsidRPr="00821ADA" w:rsidRDefault="00821ADA" w:rsidP="00821ADA">
      <w:pPr>
        <w:ind w:left="720"/>
        <w:jc w:val="both"/>
        <w:rPr>
          <w:sz w:val="22"/>
          <w:szCs w:val="22"/>
        </w:rPr>
      </w:pPr>
      <w:r w:rsidRPr="00821ADA">
        <w:rPr>
          <w:sz w:val="22"/>
          <w:szCs w:val="22"/>
        </w:rPr>
        <w:t>Keterangan: text highlight beige = lebih baik</w:t>
      </w:r>
    </w:p>
    <w:p w:rsidR="00821ADA" w:rsidRPr="00821ADA" w:rsidRDefault="00821ADA" w:rsidP="00821ADA">
      <w:pPr>
        <w:rPr>
          <w:b/>
          <w:sz w:val="22"/>
          <w:szCs w:val="22"/>
          <w:lang w:val="id-ID"/>
        </w:rPr>
        <w:sectPr w:rsidR="00821ADA" w:rsidRPr="00821ADA" w:rsidSect="0051620C">
          <w:footerReference w:type="first" r:id="rId28"/>
          <w:pgSz w:w="11907" w:h="16840" w:code="9"/>
          <w:pgMar w:top="1138" w:right="850" w:bottom="1138" w:left="850" w:header="1138" w:footer="1138" w:gutter="0"/>
          <w:pgNumType w:start="1"/>
          <w:cols w:space="720"/>
          <w:titlePg/>
          <w:docGrid w:linePitch="360"/>
        </w:sectPr>
      </w:pPr>
    </w:p>
    <w:p w:rsidR="00821ADA" w:rsidRPr="00821ADA" w:rsidRDefault="00821ADA" w:rsidP="00821ADA">
      <w:pPr>
        <w:rPr>
          <w:b/>
          <w:sz w:val="22"/>
          <w:szCs w:val="22"/>
          <w:lang w:val="id-ID"/>
        </w:rPr>
      </w:pPr>
    </w:p>
    <w:p w:rsidR="003C1B3C" w:rsidRPr="00821ADA" w:rsidRDefault="003C1B3C" w:rsidP="00821ADA">
      <w:pPr>
        <w:jc w:val="center"/>
        <w:rPr>
          <w:b/>
          <w:sz w:val="22"/>
          <w:szCs w:val="22"/>
        </w:rPr>
      </w:pPr>
      <w:r w:rsidRPr="00821ADA">
        <w:rPr>
          <w:b/>
          <w:sz w:val="22"/>
          <w:szCs w:val="22"/>
          <w:lang w:val="id-ID"/>
        </w:rPr>
        <w:t xml:space="preserve">4. </w:t>
      </w:r>
      <w:r w:rsidRPr="00821ADA">
        <w:rPr>
          <w:b/>
          <w:sz w:val="22"/>
          <w:szCs w:val="22"/>
        </w:rPr>
        <w:t>SIMPULAN</w:t>
      </w:r>
    </w:p>
    <w:p w:rsidR="003C1B3C" w:rsidRPr="00821ADA" w:rsidRDefault="003C1B3C" w:rsidP="00821ADA">
      <w:pPr>
        <w:jc w:val="center"/>
        <w:rPr>
          <w:bCs/>
          <w:sz w:val="22"/>
          <w:szCs w:val="22"/>
        </w:rPr>
      </w:pPr>
    </w:p>
    <w:p w:rsidR="00821ADA" w:rsidRPr="00821ADA" w:rsidRDefault="00821ADA" w:rsidP="00821ADA">
      <w:pPr>
        <w:ind w:firstLine="720"/>
        <w:jc w:val="both"/>
        <w:rPr>
          <w:i/>
          <w:sz w:val="22"/>
          <w:szCs w:val="22"/>
        </w:rPr>
      </w:pPr>
      <w:r w:rsidRPr="00821ADA">
        <w:rPr>
          <w:sz w:val="22"/>
          <w:szCs w:val="22"/>
        </w:rPr>
        <w:t>Hasil analisis secara in silico menunjukkan senyawa Naringenin adalah senyawa yang lolos dari proses seleksi 39 senyawa metabolit sekunder biji anggur merah (</w:t>
      </w:r>
      <w:r w:rsidRPr="00821ADA">
        <w:rPr>
          <w:i/>
          <w:sz w:val="22"/>
          <w:szCs w:val="22"/>
        </w:rPr>
        <w:t>Vitis vinifera</w:t>
      </w:r>
      <w:r w:rsidRPr="00821ADA">
        <w:rPr>
          <w:sz w:val="22"/>
          <w:szCs w:val="22"/>
        </w:rPr>
        <w:t xml:space="preserve"> L.) melalui uji RO5, ADME test, toksistas dan efek samping. Senyawa Naringenin pada uji molecular docking menunjukkan nilai </w:t>
      </w:r>
      <w:r w:rsidRPr="00821ADA">
        <w:rPr>
          <w:i/>
          <w:sz w:val="22"/>
          <w:szCs w:val="22"/>
        </w:rPr>
        <w:t>binding affinity</w:t>
      </w:r>
      <w:r w:rsidRPr="00821ADA">
        <w:rPr>
          <w:sz w:val="22"/>
          <w:szCs w:val="22"/>
        </w:rPr>
        <w:t xml:space="preserve"> yang lebih baik dibanding </w:t>
      </w:r>
      <w:r w:rsidRPr="00821ADA">
        <w:rPr>
          <w:i/>
          <w:sz w:val="22"/>
          <w:szCs w:val="22"/>
        </w:rPr>
        <w:t>Doxorubixin</w:t>
      </w:r>
      <w:r w:rsidRPr="00821ADA">
        <w:rPr>
          <w:sz w:val="22"/>
          <w:szCs w:val="22"/>
        </w:rPr>
        <w:t xml:space="preserve"> pada reseptor FZD-2, FZD-3, dan protein target PI3K dari Wnt5a </w:t>
      </w:r>
      <w:r w:rsidRPr="00821ADA">
        <w:rPr>
          <w:i/>
          <w:sz w:val="22"/>
          <w:szCs w:val="22"/>
        </w:rPr>
        <w:t>signaling pathway</w:t>
      </w:r>
      <w:r w:rsidRPr="00821ADA">
        <w:rPr>
          <w:sz w:val="22"/>
          <w:szCs w:val="22"/>
        </w:rPr>
        <w:t xml:space="preserve"> namun pada uji HOMO-LUMO senyawa Naringenin memiliki reaktivitas yang lebih rendah dari </w:t>
      </w:r>
      <w:r w:rsidRPr="00821ADA">
        <w:rPr>
          <w:i/>
          <w:sz w:val="22"/>
          <w:szCs w:val="22"/>
        </w:rPr>
        <w:t>Doxorubicin</w:t>
      </w:r>
      <w:r w:rsidRPr="00821ADA">
        <w:rPr>
          <w:sz w:val="22"/>
          <w:szCs w:val="22"/>
        </w:rPr>
        <w:t xml:space="preserve"> sehingga penelitian lebih lanjut perlu dilakukan untuk memvalidasi kemampuan senyawa Naringenin dalam menghambat perkembangan kanker payudara yang dipicu oleh Wnt5a </w:t>
      </w:r>
      <w:r w:rsidRPr="00821ADA">
        <w:rPr>
          <w:i/>
          <w:sz w:val="22"/>
          <w:szCs w:val="22"/>
        </w:rPr>
        <w:t>signaling pathway.</w:t>
      </w:r>
    </w:p>
    <w:p w:rsidR="003C1B3C" w:rsidRPr="00821ADA" w:rsidRDefault="003C1B3C" w:rsidP="00821ADA">
      <w:pPr>
        <w:jc w:val="both"/>
        <w:rPr>
          <w:sz w:val="22"/>
          <w:szCs w:val="22"/>
          <w:lang w:val="id-ID"/>
        </w:rPr>
      </w:pPr>
    </w:p>
    <w:p w:rsidR="00821ADA" w:rsidRPr="00821ADA" w:rsidRDefault="00821ADA" w:rsidP="00821ADA">
      <w:pPr>
        <w:jc w:val="center"/>
        <w:rPr>
          <w:b/>
          <w:sz w:val="22"/>
          <w:szCs w:val="22"/>
        </w:rPr>
      </w:pPr>
      <w:r w:rsidRPr="00821ADA">
        <w:rPr>
          <w:b/>
          <w:sz w:val="22"/>
          <w:szCs w:val="22"/>
        </w:rPr>
        <w:t>UCAPAN TERIMA KASIH</w:t>
      </w:r>
    </w:p>
    <w:p w:rsidR="00821ADA" w:rsidRPr="00821ADA" w:rsidRDefault="00821ADA" w:rsidP="00821ADA">
      <w:pPr>
        <w:ind w:firstLine="720"/>
        <w:jc w:val="both"/>
        <w:rPr>
          <w:b/>
          <w:sz w:val="22"/>
          <w:szCs w:val="22"/>
        </w:rPr>
      </w:pPr>
      <w:r w:rsidRPr="00821ADA">
        <w:rPr>
          <w:sz w:val="22"/>
          <w:szCs w:val="22"/>
          <w:lang w:eastAsia="id-ID"/>
        </w:rPr>
        <w:t xml:space="preserve">Penulis mengucapkan terima kasih kepada Program Studi PIPS FITK UIN Maulana Malik Ibrahim Malang yang telah memberi dukungan moral dan </w:t>
      </w:r>
      <w:proofErr w:type="gramStart"/>
      <w:r w:rsidRPr="00821ADA">
        <w:rPr>
          <w:sz w:val="22"/>
          <w:szCs w:val="22"/>
          <w:lang w:eastAsia="id-ID"/>
        </w:rPr>
        <w:t>dana</w:t>
      </w:r>
      <w:proofErr w:type="gramEnd"/>
      <w:r w:rsidRPr="00821ADA">
        <w:rPr>
          <w:sz w:val="22"/>
          <w:szCs w:val="22"/>
          <w:lang w:eastAsia="id-ID"/>
        </w:rPr>
        <w:t xml:space="preserve"> terhadap program pengabdian masyarakat ini. Selain itu juga kepada para pengurus dan guru yang berada di bawah naungan Yayasan Mambaul Ulum Probolinggo.</w:t>
      </w:r>
    </w:p>
    <w:p w:rsidR="003C1B3C" w:rsidRPr="00821ADA" w:rsidRDefault="003C1B3C" w:rsidP="00821ADA">
      <w:pPr>
        <w:ind w:firstLine="720"/>
        <w:jc w:val="both"/>
        <w:rPr>
          <w:sz w:val="22"/>
          <w:szCs w:val="22"/>
          <w:lang w:val="id-ID"/>
        </w:rPr>
      </w:pPr>
    </w:p>
    <w:p w:rsidR="003C1B3C" w:rsidRPr="00821ADA" w:rsidRDefault="003C1B3C" w:rsidP="00821ADA">
      <w:pPr>
        <w:jc w:val="center"/>
        <w:rPr>
          <w:b/>
          <w:bCs/>
          <w:sz w:val="22"/>
          <w:szCs w:val="22"/>
        </w:rPr>
      </w:pPr>
      <w:r w:rsidRPr="00821ADA">
        <w:rPr>
          <w:b/>
          <w:bCs/>
          <w:sz w:val="22"/>
          <w:szCs w:val="22"/>
        </w:rPr>
        <w:t xml:space="preserve">DAFTAR </w:t>
      </w:r>
      <w:r w:rsidR="00186319" w:rsidRPr="00821ADA">
        <w:rPr>
          <w:b/>
          <w:bCs/>
          <w:sz w:val="22"/>
          <w:szCs w:val="22"/>
        </w:rPr>
        <w:t>RUJUKAN</w:t>
      </w:r>
    </w:p>
    <w:p w:rsidR="003C1B3C" w:rsidRPr="00821ADA" w:rsidRDefault="003C1B3C" w:rsidP="0051620C">
      <w:pPr>
        <w:pStyle w:val="IEEEReferenceItem"/>
        <w:ind w:left="720" w:hanging="720"/>
        <w:rPr>
          <w:sz w:val="22"/>
          <w:szCs w:val="22"/>
        </w:rPr>
      </w:pPr>
    </w:p>
    <w:p w:rsidR="00821ADA" w:rsidRPr="0051620C" w:rsidRDefault="00821ADA" w:rsidP="0051620C">
      <w:pPr>
        <w:widowControl w:val="0"/>
        <w:autoSpaceDE w:val="0"/>
        <w:autoSpaceDN w:val="0"/>
        <w:adjustRightInd w:val="0"/>
        <w:ind w:left="720" w:hanging="720"/>
        <w:jc w:val="both"/>
        <w:rPr>
          <w:noProof/>
          <w:sz w:val="22"/>
          <w:szCs w:val="22"/>
        </w:rPr>
      </w:pPr>
      <w:r w:rsidRPr="0051620C">
        <w:rPr>
          <w:sz w:val="22"/>
          <w:szCs w:val="22"/>
        </w:rPr>
        <w:fldChar w:fldCharType="begin" w:fldLock="1"/>
      </w:r>
      <w:r w:rsidRPr="0051620C">
        <w:rPr>
          <w:sz w:val="22"/>
          <w:szCs w:val="22"/>
        </w:rPr>
        <w:instrText xml:space="preserve">ADDIN Mendeley Bibliography CSL_BIBLIOGRAPHY </w:instrText>
      </w:r>
      <w:r w:rsidRPr="0051620C">
        <w:rPr>
          <w:sz w:val="22"/>
          <w:szCs w:val="22"/>
        </w:rPr>
        <w:fldChar w:fldCharType="separate"/>
      </w:r>
      <w:r w:rsidRPr="00821ADA">
        <w:t xml:space="preserve"> </w:t>
      </w:r>
      <w:r w:rsidRPr="0051620C">
        <w:rPr>
          <w:noProof/>
          <w:sz w:val="22"/>
          <w:szCs w:val="22"/>
        </w:rPr>
        <w:t>Alex, A., Millan, D. S., Perez, M., Wakenhut, F., &amp; Whitlock, G. A. (2011).Intramolecular hydrogen bonding to improve membrane permeability and absorption in beyond rule of five chemical space. MedChemComm, 2(7), 669. https://doi.org/10.1039/c1md00093d</w:t>
      </w:r>
    </w:p>
    <w:p w:rsidR="00821ADA" w:rsidRPr="0051620C" w:rsidRDefault="00821ADA" w:rsidP="0051620C">
      <w:pPr>
        <w:widowControl w:val="0"/>
        <w:autoSpaceDE w:val="0"/>
        <w:autoSpaceDN w:val="0"/>
        <w:adjustRightInd w:val="0"/>
        <w:ind w:left="720" w:hanging="720"/>
        <w:jc w:val="both"/>
        <w:rPr>
          <w:sz w:val="22"/>
          <w:szCs w:val="22"/>
        </w:rPr>
      </w:pPr>
      <w:r w:rsidRPr="0051620C">
        <w:rPr>
          <w:noProof/>
          <w:sz w:val="22"/>
          <w:szCs w:val="22"/>
        </w:rPr>
        <w:t xml:space="preserve">Elihami, &amp;Saharudin, A. (2017). Peran Teknologi Pembelajaran Islam dalam Organisasi Belajar. </w:t>
      </w:r>
      <w:r w:rsidRPr="0051620C">
        <w:rPr>
          <w:i/>
          <w:iCs/>
          <w:noProof/>
          <w:sz w:val="22"/>
          <w:szCs w:val="22"/>
        </w:rPr>
        <w:t>Edumaspul-Jurnal Pendidikan</w:t>
      </w:r>
      <w:r w:rsidRPr="0051620C">
        <w:rPr>
          <w:noProof/>
          <w:sz w:val="22"/>
          <w:szCs w:val="22"/>
        </w:rPr>
        <w:t xml:space="preserve">, </w:t>
      </w:r>
      <w:r w:rsidRPr="0051620C">
        <w:rPr>
          <w:i/>
          <w:iCs/>
          <w:noProof/>
          <w:sz w:val="22"/>
          <w:szCs w:val="22"/>
        </w:rPr>
        <w:t>Vol 1 No.1</w:t>
      </w:r>
      <w:r w:rsidRPr="0051620C">
        <w:rPr>
          <w:noProof/>
          <w:sz w:val="22"/>
          <w:szCs w:val="22"/>
        </w:rPr>
        <w:t>. https://ummaspul.e-journal.id/maspuljr/article/view/34</w:t>
      </w:r>
      <w:r w:rsidRPr="0051620C">
        <w:rPr>
          <w:sz w:val="22"/>
          <w:szCs w:val="22"/>
        </w:rPr>
        <w:fldChar w:fldCharType="end"/>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Bayar, İ. &amp; Bildik, A. (2021). Investigation of glucose catabolism in hypoxic MCF 7 Breast Cancer Culture. Cytotechnology, 73(2), 217–232. https://doi.org/10.1007/s10616-021-00459-2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Benet, L. Z., Oprea, T. I., Ursu , O., &amp; Hosey, C. M. (2016). BDDCS, the rule of 5 and Drugability. Advanced</w:t>
      </w:r>
      <w:r w:rsidRPr="0051620C">
        <w:rPr>
          <w:noProof/>
          <w:sz w:val="22"/>
          <w:szCs w:val="22"/>
        </w:rPr>
        <w:tab/>
        <w:t>drug</w:t>
      </w:r>
      <w:r w:rsidRPr="0051620C">
        <w:rPr>
          <w:noProof/>
          <w:sz w:val="22"/>
          <w:szCs w:val="22"/>
        </w:rPr>
        <w:tab/>
        <w:t>delivery</w:t>
      </w:r>
      <w:r w:rsidRPr="0051620C">
        <w:rPr>
          <w:noProof/>
          <w:sz w:val="22"/>
          <w:szCs w:val="22"/>
        </w:rPr>
        <w:tab/>
        <w:t>reviews. https://pubmed.ncbi.nlm.nih.gov/27182629/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Bhal K. S., Kassam K., Peirson G. I., &amp; Pearl M. G. (2007). The rule of five revisited: Applying log D in place of log P in drug-likeness filters | molecular pharmaceutics. https://pubs.acs.org/doi/10.1021/mp0700209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Borcherding, N., Kusner, D., Kolb, R., Xie, Q., Li, W., Yuan, F., Velez, G., Askeland, R., Weigel, R. J., &amp; Zhang, W. (2015). Paracrine WNT5A signaling inhibits expansion of tumor initiating cells. Cancer Research, 75(10), 1972–1982. https://doi.org/10.1158/0008-5472.can-14-2761</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Burguin, A., Diorio, C., &amp; Durocher, F. (2021). Breast cancer treatments: Updates and new challenges. Journal of Personalized Medicine, 11(8), 808. https://doi.org/10.3390/jpm11080808</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Carlson, H. A., Smith, R. D., Khazanov, N. A., Kirchhoff, P. D., Dunbar, J. B., &amp; Benson, M. L. (2008). Differences between high- and low-affinity complexes of enzymes and Nonenzymes. Journal of Medicinal Chemistry, 51(20), 6432– 6441. https://doi.org/10.1021/jm8006504</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Castagnoli, L., Tagliabue, E., &amp; Pupa, S. M. (2020). Inhibition of the Wnt signalling pathway: An avenue to control breast cancer aggressiveness. International Journal</w:t>
      </w:r>
      <w:r w:rsidRPr="0051620C">
        <w:rPr>
          <w:noProof/>
          <w:sz w:val="22"/>
          <w:szCs w:val="22"/>
        </w:rPr>
        <w:tab/>
        <w:t>of</w:t>
      </w:r>
      <w:r w:rsidRPr="0051620C">
        <w:rPr>
          <w:noProof/>
          <w:sz w:val="22"/>
          <w:szCs w:val="22"/>
        </w:rPr>
        <w:tab/>
        <w:t>Molecular Sciences,</w:t>
      </w:r>
      <w:r w:rsidRPr="0051620C">
        <w:rPr>
          <w:noProof/>
          <w:sz w:val="22"/>
          <w:szCs w:val="22"/>
        </w:rPr>
        <w:tab/>
        <w:t>21(23),</w:t>
      </w:r>
      <w:r w:rsidRPr="0051620C">
        <w:rPr>
          <w:noProof/>
          <w:sz w:val="22"/>
          <w:szCs w:val="22"/>
        </w:rPr>
        <w:tab/>
        <w:t xml:space="preserve">9069. </w:t>
      </w:r>
      <w:hyperlink r:id="rId29" w:history="1">
        <w:r w:rsidRPr="0051620C">
          <w:rPr>
            <w:rStyle w:val="Hyperlink"/>
            <w:noProof/>
            <w:sz w:val="22"/>
            <w:szCs w:val="22"/>
          </w:rPr>
          <w:t>https://doi.org/10.3390/ijms21239069</w:t>
        </w:r>
      </w:hyperlink>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Chen, D., Oezguen, N., Urvil, P., Ferguson, C., Dann, S. M., &amp; Savidge, T. C. (2016). Regulation of protein-ligand binding affinity by hydrogen bond pairing. Science Advances, 2(3). https://doi.org/10.1126/sciadv.1501240</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Chidan Kumar, C. S., Panicker, C. Y., Fun, H.-K., Mary, Y. S., Harikumar, B., Chandraju, S., Quah, C. K., &amp; Ooi, C. W. (2014). FT-ir, molecular structure, first order hyperpolarizability, homo and LUMO analysis, MEP and NBO Analysis of 2- (4-chlorophenyl)-2-oxoethyl 3-Nitrobenzoate. Spectrochimica Acta Part A: Molecular and Biomolecular Spectroscopy, 126, 208–219. https://doi.org/10.1016/j.saa.2014.01.145</w:t>
      </w:r>
    </w:p>
    <w:p w:rsidR="0051620C" w:rsidRDefault="0051620C" w:rsidP="0051620C">
      <w:pPr>
        <w:widowControl w:val="0"/>
        <w:autoSpaceDE w:val="0"/>
        <w:autoSpaceDN w:val="0"/>
        <w:adjustRightInd w:val="0"/>
        <w:ind w:left="720" w:hanging="720"/>
        <w:jc w:val="both"/>
        <w:rPr>
          <w:noProof/>
          <w:sz w:val="22"/>
          <w:szCs w:val="22"/>
        </w:rPr>
        <w:sectPr w:rsidR="0051620C" w:rsidSect="00821ADA">
          <w:type w:val="continuous"/>
          <w:pgSz w:w="11907" w:h="16840" w:code="9"/>
          <w:pgMar w:top="1138" w:right="850" w:bottom="1138" w:left="850" w:header="1138" w:footer="1138" w:gutter="0"/>
          <w:pgNumType w:start="1"/>
          <w:cols w:num="2" w:space="720"/>
          <w:titlePg/>
          <w:docGrid w:linePitch="360"/>
        </w:sectPr>
      </w:pP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lastRenderedPageBreak/>
        <w:t>Coimbra, J. T., Feghali, R., Ribeiro, R. P., Ramos, M. J., &amp; Fernandes, P. A. (2021). The importance of intramolecular hydrogen bonds on the translocation of the small drug Piracetam through a lipid bilayer. RSC Advances, 11(2), 899–908. https://doi.org/10.1039/d0ra09995c</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Coleman, C. (2017). Early Detection and Screening for Breast Cancer. In Seminars in Oncology Nursing. Seminars in Oncology Nursing, 33, 141-155. https://doi.org/10.1016/j.soncn.2017.02.009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Dejmek, J., Dib, K., Jönsson, M., &amp; Andersson, T. (2003). Wnt5A and g protein signaling are required for collagen induced DDR1 receptor activation and normal mammary cell adhesion. International Journal of Cancer, 103(3), 344– 351. https://doi.org/10.1002/ijc.10752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Dejmek, J., Säfholm, A., Kamp Nielsen, C., Andersson, T., &amp; Leandersson, K. (2006). Wnt5a/Ca2+ induced NFAT activity is counteracted by Wnt5a/Yes-Cdc42- casein kinase 1α signaling in human mammary epithelial cells. Molecular and Cellular Biology, 26(16), 6024–6036. https://doi.org/10.1128/mcb.02354-05</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Doak, B. C., Over, B., Giordanetto, F., &amp; Kihlberg, J. (2014). Oral druggable space beyond the rule of 5: Insights from drugs and clinical candidates. Chemistry &amp; Biology, 21(9), 1115–1142. </w:t>
      </w:r>
      <w:hyperlink r:id="rId30" w:history="1">
        <w:r w:rsidRPr="0051620C">
          <w:rPr>
            <w:rStyle w:val="Hyperlink"/>
            <w:noProof/>
            <w:sz w:val="22"/>
            <w:szCs w:val="22"/>
          </w:rPr>
          <w:t>https://doi.org/10.1016/j.chembiol.2014.08.013</w:t>
        </w:r>
      </w:hyperlink>
      <w:r w:rsidRPr="0051620C">
        <w:rPr>
          <w:noProof/>
          <w:sz w:val="22"/>
          <w:szCs w:val="22"/>
        </w:rPr>
        <w:t xml:space="preserve"> </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Dorling, L., Carvalho, S., Allen, J., González-Neira, A., &amp; Luccarini, C. (2021). Breast Cancer Risk Genes — Association Analysis in More than 113,000 Women. New</w:t>
      </w:r>
      <w:r w:rsidRPr="0051620C">
        <w:rPr>
          <w:noProof/>
          <w:sz w:val="22"/>
          <w:szCs w:val="22"/>
        </w:rPr>
        <w:tab/>
        <w:t>England Journal</w:t>
      </w:r>
      <w:r w:rsidRPr="0051620C">
        <w:rPr>
          <w:noProof/>
          <w:sz w:val="22"/>
          <w:szCs w:val="22"/>
        </w:rPr>
        <w:tab/>
        <w:t xml:space="preserve">of Medicine, 384(5), 428–439. </w:t>
      </w:r>
      <w:hyperlink r:id="rId31" w:history="1">
        <w:r w:rsidRPr="0051620C">
          <w:rPr>
            <w:rStyle w:val="Hyperlink"/>
            <w:noProof/>
            <w:sz w:val="22"/>
            <w:szCs w:val="22"/>
          </w:rPr>
          <w:t>https://doi.org/10.1056/NEJMoa1913948</w:t>
        </w:r>
      </w:hyperlink>
      <w:r w:rsidRPr="0051620C">
        <w:rPr>
          <w:noProof/>
          <w:sz w:val="22"/>
          <w:szCs w:val="22"/>
        </w:rPr>
        <w:t>.</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El Sharif, N., &amp; Khatib, I. (2023). Healthy lifestyle and breast cancer risk in Palestinian women: A case-control study. Nutrition and Cancer, 75(3), 901–911. https://doi.org/10.1080/01635581.2023.2168022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Filimonov, D., &amp; Poroikov, V. (2008). Probabilistic approaches in activity prediction. Chemoinformatics Approaches to Virtual Screening, 182–216. https://doi.org/10.1039/9781847558879-00182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Ghose, A. K., Viswanadhan, V. N., &amp; Wendoloski, J. J. (1998). A knowledge-based approach in </w:t>
      </w:r>
      <w:r w:rsidRPr="0051620C">
        <w:rPr>
          <w:noProof/>
          <w:sz w:val="22"/>
          <w:szCs w:val="22"/>
        </w:rPr>
        <w:t>designing combinatorial or medicinal chemistry libraries for drug discovery. 1. A qualitative and quantitative characterization of known drug databases. Journal of Combinatorial Chemistry, 1(1), 55–68. https://doi.org/10.1021/cc9800071</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Globocan. (2020). Age standardized (World) incidence rates, breast cancer, males, female, all ages. https://doi.org/10.2-15.2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Gujral, T. S., Chan, M., Peshkin, L., Sorger, P. K., Kirschner, M. W., &amp; MacBeath, G. (2014). A noncanonical FRIZZLED2 pathway regulates epithelial mesenchymal transition and metastasis. Cell, 159(4), 844–856. https://doi.org/10.1016/j.cell.2014.10.032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Hansen, C., Howlin, J., Tengholm, A., Dyachok, O., Vogel, W. F., Nairn, A. C., Greengard, P., &amp; Andersson, T. (2009). Wnt5a induced phosphorylation of DARPP 32 inhibits cancer cell migration in a CREB-dependent manner. Journal of Biological 21 Chemistry, 284(40), 27533–27543. https://doi.org/10.1074/jbc.m109.048884</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John, E. M., Phipps, A. I., Hines, L. M., Koo, J., Ingles, S. A., Baumgartner, K. B., Slattery, M. L., &amp; Wu, A. H. (2020). Menstrual and reproductive characteristics and breast cancer risk by hormone receptor status and ethnicity: The breast cancer etiology in minorities study. International Journal of Cancer, 147(7), 1808–1822. https://doi.org/10.1002/ijc.32923</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Kelley, J. G. (2012). The good, the bad, and the ugly. Monitoring Democracy. https://doi.org/10.23943/princeton/9780691152776.003.0009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Koh, J. &amp; Kim, M. J. (2019). Introduction of A New Staging System of Breast Cancer for Radiologists: An Emphasis On The Prognostic Stage. Korean Journal of Radiology, 20(1), 69–82. </w:t>
      </w:r>
      <w:hyperlink r:id="rId32" w:history="1">
        <w:r w:rsidRPr="0051620C">
          <w:rPr>
            <w:rStyle w:val="Hyperlink"/>
            <w:noProof/>
            <w:sz w:val="22"/>
            <w:szCs w:val="22"/>
          </w:rPr>
          <w:t>https://doi.org/10.3348/kjr.2018.0231</w:t>
        </w:r>
      </w:hyperlink>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Kong, F., He, C., Kong, F., Han, S., Kong, X., Han, W., &amp; Yang, L. (2021). Grape seed procyanidins inhibit the growth of breast cancer MCF-7 cells by down- regulating the EGFR/VEGF/MMP9 pathway. Natural Product Communications, 16(2). https://doi.org/10.1177/1934578x21991691</w:t>
      </w:r>
    </w:p>
    <w:p w:rsidR="0051620C" w:rsidRDefault="00821ADA" w:rsidP="0051620C">
      <w:pPr>
        <w:widowControl w:val="0"/>
        <w:autoSpaceDE w:val="0"/>
        <w:autoSpaceDN w:val="0"/>
        <w:adjustRightInd w:val="0"/>
        <w:ind w:left="720" w:hanging="720"/>
        <w:jc w:val="both"/>
        <w:rPr>
          <w:noProof/>
          <w:sz w:val="22"/>
          <w:szCs w:val="22"/>
        </w:rPr>
        <w:sectPr w:rsidR="0051620C" w:rsidSect="0051620C">
          <w:footerReference w:type="first" r:id="rId33"/>
          <w:pgSz w:w="11907" w:h="16840" w:code="9"/>
          <w:pgMar w:top="1138" w:right="850" w:bottom="1138" w:left="850" w:header="1138" w:footer="1138" w:gutter="0"/>
          <w:pgNumType w:start="1"/>
          <w:cols w:num="2" w:space="720"/>
          <w:titlePg/>
          <w:docGrid w:linePitch="360"/>
        </w:sectPr>
      </w:pPr>
      <w:r w:rsidRPr="0051620C">
        <w:rPr>
          <w:noProof/>
          <w:sz w:val="22"/>
          <w:szCs w:val="22"/>
        </w:rPr>
        <w:t xml:space="preserve">Kumer, A., &amp; Khan, Md. W. (2021). The effect of alkyl chain and electronegative atoms in anion on biological activity of anilinium carboxylate bioactive ionic liquids and computational approaches by DFT functional and molecular </w:t>
      </w:r>
    </w:p>
    <w:p w:rsidR="00821ADA" w:rsidRPr="0051620C" w:rsidRDefault="00821ADA" w:rsidP="0051620C">
      <w:pPr>
        <w:widowControl w:val="0"/>
        <w:autoSpaceDE w:val="0"/>
        <w:autoSpaceDN w:val="0"/>
        <w:adjustRightInd w:val="0"/>
        <w:ind w:left="720"/>
        <w:jc w:val="both"/>
        <w:rPr>
          <w:noProof/>
          <w:sz w:val="22"/>
          <w:szCs w:val="22"/>
        </w:rPr>
      </w:pPr>
      <w:r w:rsidRPr="0051620C">
        <w:rPr>
          <w:noProof/>
          <w:sz w:val="22"/>
          <w:szCs w:val="22"/>
        </w:rPr>
        <w:lastRenderedPageBreak/>
        <w:t>docking. Heliyon, 7(7). https://doi.org/10.1016/j.heliyon.2021.e07509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Lagunin, A., Stepanchikova, A., Filimonov, D., &amp; Poroikov, V. (2000). Pass: Prediction of activity spectra for Biologically Active Substances. Bioinformatics,</w:t>
      </w:r>
      <w:r w:rsidRPr="0051620C">
        <w:rPr>
          <w:noProof/>
          <w:sz w:val="22"/>
          <w:szCs w:val="22"/>
        </w:rPr>
        <w:tab/>
        <w:t>16(8),</w:t>
      </w:r>
      <w:r w:rsidRPr="0051620C">
        <w:rPr>
          <w:noProof/>
          <w:sz w:val="22"/>
          <w:szCs w:val="22"/>
        </w:rPr>
        <w:tab/>
        <w:t>747–748. https://doi.org/10.1093/bioinformatics/16.8.747</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Leone, A., Longo, C., Gerardi, C., &amp; Trosko, J. E. (2019). Pro-apoptotic effect of grape seed extract on MCF-7 involves transient increase of gap junction intercellular communication and CX43 up-regulation: A mechanism of chemoprevention. International Journal of Molecular Sciences, 20(13), 3244. https://doi.org/10.3390/ijms20133244</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Lipinski, C. A., Lombardo, F., Dominy, B. W., &amp; Feeney, P. J. (2012). Experimental and computational approaches to estimate solubility and permeability in drug discovery and development settings. Advanced Drug Delivery Reviews, 64, 4–17. https://doi.org/10.1016/j.addr.2012.09.019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Listyorini, D., Wisnubroto, J. D. P., Akhsan, A., Tanggo, V. V. C. M., Ardana, I. K. K. G., Wardana, Z. O., Ariyadhiny, M., Nisa, S. R., Shima, E. K., Praseptin, P. K. H., Pangesti, D. W., Sabatia, A., Susanto, H., &amp; Handayani, N. (2020). Genetic Profiling of Breast Cancer: A Case Study On Wnt and BRCA Pathways. AIP Conference Proceedings, 2260, 1–8. https://doi.org/10.1063/5.0015776</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Liu, S., Lee, J. S., Jie, C., Park, M. H., Iwakura, Y., Patel, Y., Soni, M., Reisman, D., &amp; Chen, H. (2018). HER2 overexpression triggers an il1α proinflammatory circuit to drive tumorigenesis and promote chemotherapy resistance. Cancer Research, 78(8), 2040–2051. </w:t>
      </w:r>
      <w:hyperlink r:id="rId34" w:history="1">
        <w:r w:rsidRPr="0051620C">
          <w:rPr>
            <w:rStyle w:val="Hyperlink"/>
            <w:noProof/>
            <w:sz w:val="22"/>
            <w:szCs w:val="22"/>
          </w:rPr>
          <w:t>https://doi.org/10.1158/0008-5472.can-17-2761</w:t>
        </w:r>
      </w:hyperlink>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Miyagawa, M. (2010). [globally harmonized system of classification and Labelling of Chemicals (GHS) and its implementation in Japan]. Nihon eiseigaku zasshi. Japanese journal of hygiene. https://pubmed.ncbi.nlm.nih.gov/20134103/</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Narayanan, R., &amp; Gunturi, S. B. (2005). In silico ADME modelling: Prediction models for blood–brain barrier permeation using a systematic variable selection method. Bioorganic &amp; Medicinal Chemistry, 13(8), </w:t>
      </w:r>
      <w:r w:rsidRPr="0051620C">
        <w:rPr>
          <w:noProof/>
          <w:sz w:val="22"/>
          <w:szCs w:val="22"/>
        </w:rPr>
        <w:t>3017–3028. https://doi.org/10.1016/j.bmc.2005.01.061</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Navia, M. A., &amp; Chaturvedi, P. R. (1996). Design principles for orally bioavailable drugs. Drug Dev Today 1: 179–189.</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Pacák, P., &amp; Kodejš, Z. (1988). Molar volumes and refractivities of highly concentrated solutions of ammonium and potassium thiocyanates in water and dimethylsulphoxide. Canadian Journal of Chemistry, 66(9), 2244–2249. https://doi.org/10.1139/v88-356</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Pires, D. E., Blundell, T. L., &amp; Ascher, D. B. (2015). PKCSM: Predicting small-molecule pharmacokinetic and toxicity properties using graph-based signatures. Journal</w:t>
      </w:r>
      <w:r w:rsidRPr="0051620C">
        <w:rPr>
          <w:noProof/>
          <w:sz w:val="22"/>
          <w:szCs w:val="22"/>
        </w:rPr>
        <w:tab/>
        <w:t>of Medicinal Chemistry,</w:t>
      </w:r>
      <w:r w:rsidRPr="0051620C">
        <w:rPr>
          <w:noProof/>
          <w:sz w:val="22"/>
          <w:szCs w:val="22"/>
        </w:rPr>
        <w:tab/>
        <w:t>58(9),</w:t>
      </w:r>
      <w:r w:rsidRPr="0051620C">
        <w:rPr>
          <w:noProof/>
          <w:sz w:val="22"/>
          <w:szCs w:val="22"/>
        </w:rPr>
        <w:tab/>
        <w:t>4066–4072. https://doi.org/10.1021/acs.jmedchem.5b00104</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Poroikov, V. V., &amp; Filimonov, A. D. (2002). How to acquire new biological activities in old compounds by computer prediction. Google search. https://www.google.com/search?q=How%2Bto%2Bacquire%2Bnew%2Bbiological%2Bactivities%2Bin%2Bold%2Bcompounds%2Bby%2Bcomputer%2Bprediction .</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Prieve, M. G., &amp; Moon, R. T. (2003). Stromelysin-1 and mesothelin are differentially regulated by wnt-5a and wnt-1 in C57MG mouse mammary epithelial cells. BMC Developmental Biology, 3(1). https://doi.org/10.1186/1471-213x-3-2</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Pukrop, T., Klemm, F., Hagemann, Th., Gradl, D., Schulz, M., Siemes, S., Trümper, L., &amp; Binder, C. (2006). Wnt5a signaling is critical for macrophage-induced invasion of breast cancer cell lines. Proceedings of the National Academy of Sciences, 103(14), 5454–5459. https://doi.org/10.1073/pnas.0509703103</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Raies, A. B., &amp; Bajic, V. B. (2016). in silico toxicology: Computational methods for the prediction of chemical toxicity. WIREs Computational Molecular Science, 6(2), 147–172. </w:t>
      </w:r>
      <w:hyperlink r:id="rId35" w:history="1">
        <w:r w:rsidRPr="0051620C">
          <w:rPr>
            <w:rStyle w:val="Hyperlink"/>
            <w:noProof/>
            <w:sz w:val="22"/>
            <w:szCs w:val="22"/>
          </w:rPr>
          <w:t>https://doi.org/10.1002/wcms.1240</w:t>
        </w:r>
      </w:hyperlink>
    </w:p>
    <w:p w:rsidR="0051620C" w:rsidRDefault="00821ADA" w:rsidP="0051620C">
      <w:pPr>
        <w:widowControl w:val="0"/>
        <w:autoSpaceDE w:val="0"/>
        <w:autoSpaceDN w:val="0"/>
        <w:adjustRightInd w:val="0"/>
        <w:ind w:left="720" w:hanging="720"/>
        <w:jc w:val="both"/>
        <w:rPr>
          <w:noProof/>
          <w:sz w:val="22"/>
          <w:szCs w:val="22"/>
        </w:rPr>
        <w:sectPr w:rsidR="0051620C" w:rsidSect="0051620C">
          <w:footerReference w:type="first" r:id="rId36"/>
          <w:pgSz w:w="11907" w:h="16840" w:code="9"/>
          <w:pgMar w:top="1138" w:right="850" w:bottom="1138" w:left="850" w:header="1138" w:footer="1138" w:gutter="0"/>
          <w:pgNumType w:start="1"/>
          <w:cols w:num="2" w:space="720"/>
          <w:titlePg/>
          <w:docGrid w:linePitch="360"/>
        </w:sectPr>
      </w:pPr>
      <w:r w:rsidRPr="0051620C">
        <w:rPr>
          <w:noProof/>
          <w:sz w:val="22"/>
          <w:szCs w:val="22"/>
        </w:rPr>
        <w:t>Sawale, R., Kalyankar, T., George, R., &amp; Deosarkar, S. (2016). Molar refraction and polarizability of antiemetic</w:t>
      </w:r>
      <w:r w:rsidRPr="0051620C">
        <w:rPr>
          <w:noProof/>
          <w:sz w:val="22"/>
          <w:szCs w:val="22"/>
        </w:rPr>
        <w:tab/>
        <w:t>drug</w:t>
      </w:r>
      <w:r w:rsidRPr="0051620C">
        <w:rPr>
          <w:noProof/>
          <w:sz w:val="22"/>
          <w:szCs w:val="22"/>
        </w:rPr>
        <w:tab/>
      </w:r>
      <w:r w:rsidRPr="0051620C">
        <w:rPr>
          <w:noProof/>
          <w:sz w:val="22"/>
          <w:szCs w:val="22"/>
        </w:rPr>
        <w:tab/>
        <w:t>4-amino-5-chloro-n-(2- (diethylamino)ethyl)-2 methoxybenzamide hydrochloride monohydrate in [aqueous-sodium or lithium chloride] solutions at 30 and deg. Journal of Applied</w:t>
      </w:r>
      <w:r w:rsidRPr="0051620C">
        <w:rPr>
          <w:noProof/>
          <w:sz w:val="22"/>
          <w:szCs w:val="22"/>
        </w:rPr>
        <w:tab/>
      </w:r>
      <w:r w:rsidRPr="0051620C">
        <w:rPr>
          <w:noProof/>
          <w:sz w:val="22"/>
          <w:szCs w:val="22"/>
        </w:rPr>
        <w:tab/>
        <w:t>Pharmaceutical Science,</w:t>
      </w:r>
      <w:r w:rsidRPr="0051620C">
        <w:rPr>
          <w:noProof/>
          <w:sz w:val="22"/>
          <w:szCs w:val="22"/>
        </w:rPr>
        <w:tab/>
        <w:t xml:space="preserve">120–124. </w:t>
      </w:r>
    </w:p>
    <w:p w:rsidR="00821ADA" w:rsidRPr="0051620C" w:rsidRDefault="00821ADA" w:rsidP="0051620C">
      <w:pPr>
        <w:widowControl w:val="0"/>
        <w:autoSpaceDE w:val="0"/>
        <w:autoSpaceDN w:val="0"/>
        <w:adjustRightInd w:val="0"/>
        <w:ind w:left="720"/>
        <w:jc w:val="both"/>
        <w:rPr>
          <w:noProof/>
          <w:sz w:val="22"/>
          <w:szCs w:val="22"/>
        </w:rPr>
      </w:pPr>
      <w:r w:rsidRPr="0051620C">
        <w:rPr>
          <w:noProof/>
          <w:sz w:val="22"/>
          <w:szCs w:val="22"/>
        </w:rPr>
        <w:lastRenderedPageBreak/>
        <w:t>https://doi.org/10.7324/japs.2016.60321</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Schmiedlin-Ren, P., Thummel, K. E., Fisher, J. M., Paine, M. F., Lown, K. S., &amp; Watkins, P. B. (1997). Expression of enzymatically active CYP3A4 by Caco-2 cells grown on extracellular matrix-coated permeable supports in the presence of 1α,25-Dihydroxyvitamin D3. Molecular Pharmacology, 51(5), 741–754. https://doi.org/10.1124/mol.51.5.741</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Schwartz, E. F., Capes, E. M., Diego-García, E., Zamudio, F. Z., Fuentes, O., Possani, L. D., &amp; Valdivia, H. H. (2009). Characterization of hadrucalcin, a peptide from Hadrurus gertschi scorpion venom with pharmacological activity on ryanodine receptors. British Journal of Pharmacology, 157(3), 392–403. https://doi.org/10.1111/j.1476-5381.2009.00147.x</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Shipitsin, M., Campbell L. L., Argani, P., Weremowicz, S., Bloushtain-Qimron, N., Yao, J., Nikolskaya, T., Serebryiskaya, T., Beroukhim, R., Hu, M., Halushka, M. K., Sukumar, 24 S., Parker, L. M., Anderson, K. S., Harris, L. N., Garber, J. E., Richardson, A. L., Schnitt, S. J., Nikolsky, Y., Gelman, R. S., &amp; Polyak, K. (2007). Molecular definition of breast tumor heterogeneity. Cancer cell. https://pubmed.ncbi.nlm.nih.gov/17349583/</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Sinn, H. P. &amp; Kreipe, H. (2013). A brief overview of the WHO classification of breast tumors, 4th edition, focusing on issues and updates from the 3rd edition. Breast Care 8 (2), 149–154. doi:10.1159/000350774</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Tsaioun, K., &amp; Kates, S. A. (2011). Admet for medicinal chemists: A practical guide. Wiley.</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Van Breemen, R. B., &amp; Li, Y. (2005). Caco-2 cell permeability assays to measure drug absorption. Expert Opinion on Drug Metabolism &amp; Toxicology, 1(2), 175–185. https://doi.org/10.1517/17425255.1.2.175</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Wahner-Roedler, D. L., Bauer, B. A., Loehrer, L. L., Cha, S. S., Hoskin, T. L., &amp; Olson, J. E.   (2014).   The   effect   of   grape   seed   extract   on   estrogen   levels   of postmenopausal women: A pilot study. Journal of Dietary Supplements, 11(2), 184–197. 25 </w:t>
      </w:r>
      <w:hyperlink r:id="rId37" w:history="1">
        <w:r w:rsidRPr="0051620C">
          <w:rPr>
            <w:rStyle w:val="Hyperlink"/>
            <w:noProof/>
            <w:sz w:val="22"/>
            <w:szCs w:val="22"/>
          </w:rPr>
          <w:t>https://doi.org/10.3109/19390211.2013.859220</w:t>
        </w:r>
      </w:hyperlink>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Wang, Q., Jiang, J., Ying, G., Xie, X. Q., Zhang, X., Xu, W., Zhang, X., Song, E., Bu, H., Ping,</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Y. F., Yao, X. H., Wang, B., Xu, S., Yan, Z. X., Tai, Y., Hu, B., Qi, X., Wang, Y. X., He,</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Z. C., &amp; Bian, X. W. (2018). Tamoxifen enhances stemness and promotes metastasis of ERα36+ breast cancer by upregulating ALDH1A1 in cancer cells. Cell Research, 28(3), 336–358. https://doi.org/10.1038/cr.2018.15</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Wang, Y., Gallagher, E., Jorgensen, C., Troendle, E. P., Hu, D., Searson, P. C., &amp; Ulmschneider, Martin. B. (2019). An experimentally validated approach to calculate the blood-brain barrier permeability of small molecules. Scientific Reports, 9(1). https://doi.org/10.1038/s41598-019-42272-0</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Wessel D. M., Jurs C. P., Tolan W. J., &amp; Muskal M. S. (1988). Prediction of human intestinal absorption of drug compounds from molecular structure. Journal of chemical</w:t>
      </w:r>
      <w:r w:rsidRPr="0051620C">
        <w:rPr>
          <w:noProof/>
          <w:sz w:val="22"/>
          <w:szCs w:val="22"/>
        </w:rPr>
        <w:tab/>
        <w:t>information and</w:t>
      </w:r>
      <w:r w:rsidRPr="0051620C">
        <w:rPr>
          <w:noProof/>
          <w:sz w:val="22"/>
          <w:szCs w:val="22"/>
        </w:rPr>
        <w:tab/>
        <w:t>computer</w:t>
      </w:r>
      <w:r w:rsidRPr="0051620C">
        <w:rPr>
          <w:noProof/>
          <w:sz w:val="22"/>
          <w:szCs w:val="22"/>
        </w:rPr>
        <w:tab/>
        <w:t>sciences. https://pubmed.ncbi.nlm.nih.gov/9691477/</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World Health Organization (WHO). (2020). Mortality Database. Health Statistics and Information Systems. Geneva, Switzerland: WHO.</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Xu, X., Zhang, M., Xu, F., &amp; Jiang, S. (2020). Wnt Signaling in Breast Cancer: Biological Mechanisms, Challenges and Opportunities. Molecular Cancer, 19(165), 1–35. https://doi.org/10.1186/s12943-020-01276-5</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Yang, H., Lou, C., Sun, L., Li, J., Cai, Y., Wang, Z., Li, W., Liu, G., &amp; Tang, Y. (2017). Admetsar 2.0: Web-service for prediction and optimization of Chemical Admet</w:t>
      </w:r>
      <w:r w:rsidRPr="0051620C">
        <w:rPr>
          <w:noProof/>
          <w:sz w:val="22"/>
          <w:szCs w:val="22"/>
        </w:rPr>
        <w:tab/>
        <w:t>properties. Bioinformatics</w:t>
      </w:r>
      <w:r w:rsidRPr="0051620C">
        <w:rPr>
          <w:noProof/>
          <w:sz w:val="22"/>
          <w:szCs w:val="22"/>
        </w:rPr>
        <w:tab/>
        <w:t>(Oxford,</w:t>
      </w:r>
      <w:r w:rsidRPr="0051620C">
        <w:rPr>
          <w:noProof/>
          <w:sz w:val="22"/>
          <w:szCs w:val="22"/>
        </w:rPr>
        <w:tab/>
        <w:t>England). https://pubmed.ncbi.nlm.nih.gov/30165565/</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Yang, R., Mann, A. K. P., Van Duong, T., Ormes, J. D., Okoh, G. A., Hermans, A., Taylor, L. S. (2021). Drug release and nanodroplet formation from amorphous solid dispersions: Insight into the roles of drug physicochemical properties and polymer</w:t>
      </w:r>
      <w:r w:rsidRPr="0051620C">
        <w:rPr>
          <w:noProof/>
          <w:sz w:val="22"/>
          <w:szCs w:val="22"/>
        </w:rPr>
        <w:tab/>
        <w:t>selection.</w:t>
      </w:r>
      <w:r w:rsidRPr="0051620C">
        <w:rPr>
          <w:noProof/>
          <w:sz w:val="22"/>
          <w:szCs w:val="22"/>
        </w:rPr>
        <w:tab/>
        <w:t>Molecular pharmaceutics. https://pubmed.ncbi.nlm.nih.gov/33784104/</w:t>
      </w:r>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 xml:space="preserve">Yuan, H., Ma, Q., Ye, L., &amp; Piao, G. (2016). The traditional medicine and modern medicine from natural products. Molecules, 21(5), 559. </w:t>
      </w:r>
      <w:hyperlink r:id="rId38" w:history="1">
        <w:r w:rsidRPr="0051620C">
          <w:rPr>
            <w:rStyle w:val="Hyperlink"/>
            <w:noProof/>
            <w:sz w:val="22"/>
            <w:szCs w:val="22"/>
          </w:rPr>
          <w:t>https://doi.org/10.3390/molecules2105055922</w:t>
        </w:r>
      </w:hyperlink>
    </w:p>
    <w:p w:rsidR="00821ADA" w:rsidRPr="0051620C" w:rsidRDefault="00821ADA" w:rsidP="0051620C">
      <w:pPr>
        <w:widowControl w:val="0"/>
        <w:autoSpaceDE w:val="0"/>
        <w:autoSpaceDN w:val="0"/>
        <w:adjustRightInd w:val="0"/>
        <w:ind w:left="720" w:hanging="720"/>
        <w:jc w:val="both"/>
        <w:rPr>
          <w:noProof/>
          <w:sz w:val="22"/>
          <w:szCs w:val="22"/>
        </w:rPr>
      </w:pPr>
      <w:r w:rsidRPr="0051620C">
        <w:rPr>
          <w:noProof/>
          <w:sz w:val="22"/>
          <w:szCs w:val="22"/>
        </w:rPr>
        <w:t>Zeng, R., Huang, J., Zhong, M. Z., Li, L., Yang, G., Liu, L., Wu, Y., Yao, X., Shi, J., &amp; Wu, Z. (2016). Multiple Roles of WNT5A in Breast Cancer. Medical Science Monitor, 22, 5058–5067. https://doi.org/10.12659/MSM.90202</w:t>
      </w:r>
    </w:p>
    <w:p w:rsidR="0051620C" w:rsidRDefault="00821ADA" w:rsidP="0051620C">
      <w:pPr>
        <w:widowControl w:val="0"/>
        <w:autoSpaceDE w:val="0"/>
        <w:autoSpaceDN w:val="0"/>
        <w:adjustRightInd w:val="0"/>
        <w:ind w:left="720" w:hanging="720"/>
        <w:jc w:val="both"/>
        <w:rPr>
          <w:noProof/>
          <w:sz w:val="22"/>
          <w:szCs w:val="22"/>
        </w:rPr>
        <w:sectPr w:rsidR="0051620C" w:rsidSect="0051620C">
          <w:footerReference w:type="first" r:id="rId39"/>
          <w:pgSz w:w="11907" w:h="16840" w:code="9"/>
          <w:pgMar w:top="1138" w:right="850" w:bottom="1138" w:left="850" w:header="1138" w:footer="1138" w:gutter="0"/>
          <w:pgNumType w:start="1"/>
          <w:cols w:num="2" w:space="720"/>
          <w:titlePg/>
          <w:docGrid w:linePitch="360"/>
        </w:sectPr>
      </w:pPr>
      <w:r w:rsidRPr="0051620C">
        <w:rPr>
          <w:noProof/>
          <w:sz w:val="22"/>
          <w:szCs w:val="22"/>
        </w:rPr>
        <w:t xml:space="preserve">Zhang, S., Chen, L., Cui, B., Chuang, H.-Y., Yu, J., </w:t>
      </w:r>
    </w:p>
    <w:p w:rsidR="00821ADA" w:rsidRPr="0051620C" w:rsidRDefault="00821ADA" w:rsidP="0051620C">
      <w:pPr>
        <w:widowControl w:val="0"/>
        <w:autoSpaceDE w:val="0"/>
        <w:autoSpaceDN w:val="0"/>
        <w:adjustRightInd w:val="0"/>
        <w:ind w:left="720"/>
        <w:jc w:val="both"/>
        <w:rPr>
          <w:noProof/>
          <w:sz w:val="22"/>
          <w:szCs w:val="22"/>
        </w:rPr>
      </w:pPr>
      <w:r w:rsidRPr="0051620C">
        <w:rPr>
          <w:noProof/>
          <w:sz w:val="22"/>
          <w:szCs w:val="22"/>
        </w:rPr>
        <w:lastRenderedPageBreak/>
        <w:t>Wang-Rodriguez, J., Tang, L., Chen, G., Basak, G. W., &amp; Kipps, T. J. (2012). ROR1 is expressed in human breast cancer and 26 associated with enhanced tumor-cell growth. PLoS ONE, 7(3). https://doi.org/10.1371/journal.pone.0031127</w:t>
      </w:r>
    </w:p>
    <w:p w:rsidR="00821ADA" w:rsidRPr="0051620C" w:rsidRDefault="00821ADA" w:rsidP="0051620C">
      <w:pPr>
        <w:widowControl w:val="0"/>
        <w:tabs>
          <w:tab w:val="left" w:pos="810"/>
        </w:tabs>
        <w:autoSpaceDE w:val="0"/>
        <w:autoSpaceDN w:val="0"/>
        <w:adjustRightInd w:val="0"/>
        <w:ind w:left="720" w:hanging="720"/>
        <w:jc w:val="both"/>
        <w:rPr>
          <w:noProof/>
          <w:sz w:val="22"/>
          <w:szCs w:val="22"/>
        </w:rPr>
      </w:pPr>
      <w:r w:rsidRPr="0051620C">
        <w:rPr>
          <w:noProof/>
          <w:sz w:val="22"/>
          <w:szCs w:val="22"/>
        </w:rPr>
        <w:t>Zhao, Z., Jin, G., Ge, Y., &amp; Guo, Z. (2019). Naringenin inhibits migration of breast cancer cells via inflammatory and apoptosis cell signaling pathways. Inflammopharmacology, 27(5),</w:t>
      </w:r>
      <w:r w:rsidRPr="0051620C">
        <w:rPr>
          <w:noProof/>
          <w:sz w:val="22"/>
          <w:szCs w:val="22"/>
        </w:rPr>
        <w:tab/>
        <w:t>1021–1036. https://doi.org/10.1007/s10787-018-00556-3</w:t>
      </w:r>
    </w:p>
    <w:p w:rsidR="00821ADA" w:rsidRPr="0051620C" w:rsidRDefault="00821ADA" w:rsidP="0051620C">
      <w:pPr>
        <w:widowControl w:val="0"/>
        <w:tabs>
          <w:tab w:val="left" w:pos="810"/>
        </w:tabs>
        <w:autoSpaceDE w:val="0"/>
        <w:autoSpaceDN w:val="0"/>
        <w:adjustRightInd w:val="0"/>
        <w:ind w:left="720" w:hanging="720"/>
        <w:jc w:val="both"/>
        <w:rPr>
          <w:noProof/>
          <w:sz w:val="22"/>
          <w:szCs w:val="22"/>
        </w:rPr>
      </w:pPr>
      <w:r w:rsidRPr="0051620C">
        <w:rPr>
          <w:noProof/>
          <w:sz w:val="22"/>
          <w:szCs w:val="22"/>
        </w:rPr>
        <w:t>Zhu, Y., Shen, T., Liu, J., Zheng, J., Zhang, Y., Xu, R., Sun, C., Du, J., Chen, Y., &amp; Gu, L. (2013). Rab35 is required for WNT5A/DVL2-induced RAC1 activation and cell migration in MCF-7 breast cancer cells. Cellular Signalling, 25(5), 1075– 1085. https://doi.org/10.1016/j.cellsig.2013.01.015</w:t>
      </w:r>
    </w:p>
    <w:p w:rsidR="003C1B3C" w:rsidRPr="00821ADA" w:rsidRDefault="00821ADA" w:rsidP="0051620C">
      <w:pPr>
        <w:tabs>
          <w:tab w:val="left" w:pos="810"/>
          <w:tab w:val="left" w:pos="1090"/>
        </w:tabs>
        <w:ind w:left="720" w:right="408" w:hanging="720"/>
        <w:jc w:val="both"/>
      </w:pPr>
      <w:r w:rsidRPr="0051620C">
        <w:rPr>
          <w:noProof/>
          <w:sz w:val="22"/>
          <w:szCs w:val="22"/>
        </w:rPr>
        <w:t xml:space="preserve">Zubair, M., Wang, S., &amp; Ali, N. (2021). Advanced approaches to breast cancer classification and diagnosis. Frontiers in Pharmacology, 11. </w:t>
      </w:r>
      <w:hyperlink r:id="rId40" w:history="1">
        <w:r w:rsidRPr="0051620C">
          <w:rPr>
            <w:rStyle w:val="Hyperlink"/>
            <w:noProof/>
            <w:sz w:val="22"/>
            <w:szCs w:val="22"/>
          </w:rPr>
          <w:t>https://doi.org/10.3389/fphar.2020.632079</w:t>
        </w:r>
      </w:hyperlink>
    </w:p>
    <w:p w:rsidR="00AA5910" w:rsidRDefault="00AA5910">
      <w:pPr>
        <w:spacing w:after="160" w:line="259" w:lineRule="auto"/>
        <w:rPr>
          <w:noProof/>
          <w:sz w:val="22"/>
          <w:szCs w:val="22"/>
        </w:rPr>
        <w:sectPr w:rsidR="00AA5910" w:rsidSect="0051620C">
          <w:footerReference w:type="first" r:id="rId41"/>
          <w:pgSz w:w="11907" w:h="16840" w:code="9"/>
          <w:pgMar w:top="1138" w:right="850" w:bottom="1138" w:left="850" w:header="1138" w:footer="1138" w:gutter="0"/>
          <w:pgNumType w:start="1"/>
          <w:cols w:num="2" w:space="720"/>
          <w:titlePg/>
          <w:docGrid w:linePitch="360"/>
        </w:sectPr>
      </w:pPr>
    </w:p>
    <w:p w:rsidR="00821ADA" w:rsidRPr="00AA5910" w:rsidRDefault="00AA5910">
      <w:pPr>
        <w:spacing w:after="160" w:line="259" w:lineRule="auto"/>
        <w:rPr>
          <w:noProof/>
          <w:sz w:val="22"/>
          <w:szCs w:val="22"/>
        </w:rPr>
      </w:pPr>
      <w:bookmarkStart w:id="0" w:name="_Hlk186066843"/>
      <w:r w:rsidRPr="00AA5910">
        <w:rPr>
          <w:b/>
          <w:bCs/>
          <w:color w:val="111727"/>
          <w:sz w:val="22"/>
          <w:szCs w:val="22"/>
        </w:rPr>
        <w:lastRenderedPageBreak/>
        <w:t>Lampiran</w:t>
      </w:r>
      <w:r w:rsidRPr="00AA5910">
        <w:rPr>
          <w:b/>
          <w:bCs/>
          <w:color w:val="111727"/>
          <w:spacing w:val="-6"/>
          <w:sz w:val="22"/>
          <w:szCs w:val="22"/>
        </w:rPr>
        <w:t xml:space="preserve"> </w:t>
      </w:r>
      <w:r w:rsidRPr="00AA5910">
        <w:rPr>
          <w:b/>
          <w:bCs/>
          <w:color w:val="111727"/>
          <w:sz w:val="22"/>
          <w:szCs w:val="22"/>
        </w:rPr>
        <w:t>1:</w:t>
      </w:r>
      <w:r w:rsidRPr="00AA5910">
        <w:rPr>
          <w:bCs/>
          <w:color w:val="111727"/>
          <w:spacing w:val="-6"/>
          <w:sz w:val="22"/>
          <w:szCs w:val="22"/>
        </w:rPr>
        <w:t xml:space="preserve"> </w:t>
      </w:r>
      <w:r w:rsidRPr="00AA5910">
        <w:rPr>
          <w:bCs/>
          <w:color w:val="111727"/>
          <w:sz w:val="22"/>
          <w:szCs w:val="22"/>
        </w:rPr>
        <w:t>Deskripsi</w:t>
      </w:r>
      <w:r w:rsidRPr="00AA5910">
        <w:rPr>
          <w:bCs/>
          <w:color w:val="111727"/>
          <w:spacing w:val="-2"/>
          <w:sz w:val="22"/>
          <w:szCs w:val="22"/>
        </w:rPr>
        <w:t xml:space="preserve"> </w:t>
      </w:r>
      <w:r w:rsidRPr="00AA5910">
        <w:rPr>
          <w:bCs/>
          <w:color w:val="111727"/>
          <w:sz w:val="22"/>
          <w:szCs w:val="22"/>
        </w:rPr>
        <w:t>Senyawa</w:t>
      </w:r>
      <w:r w:rsidRPr="00AA5910">
        <w:rPr>
          <w:bCs/>
          <w:color w:val="111727"/>
          <w:spacing w:val="-2"/>
          <w:sz w:val="22"/>
          <w:szCs w:val="22"/>
        </w:rPr>
        <w:t xml:space="preserve"> </w:t>
      </w:r>
      <w:r w:rsidRPr="00AA5910">
        <w:rPr>
          <w:bCs/>
          <w:color w:val="111727"/>
          <w:sz w:val="22"/>
          <w:szCs w:val="22"/>
        </w:rPr>
        <w:t>Metabolit</w:t>
      </w:r>
      <w:r w:rsidRPr="00AA5910">
        <w:rPr>
          <w:bCs/>
          <w:color w:val="111727"/>
          <w:spacing w:val="-4"/>
          <w:sz w:val="22"/>
          <w:szCs w:val="22"/>
        </w:rPr>
        <w:t xml:space="preserve"> </w:t>
      </w:r>
      <w:r w:rsidRPr="00AA5910">
        <w:rPr>
          <w:bCs/>
          <w:color w:val="111727"/>
          <w:sz w:val="22"/>
          <w:szCs w:val="22"/>
        </w:rPr>
        <w:t>Sekunder</w:t>
      </w:r>
      <w:r w:rsidRPr="00AA5910">
        <w:rPr>
          <w:bCs/>
          <w:color w:val="111727"/>
          <w:spacing w:val="-7"/>
          <w:sz w:val="22"/>
          <w:szCs w:val="22"/>
        </w:rPr>
        <w:t xml:space="preserve"> </w:t>
      </w:r>
      <w:r w:rsidRPr="00AA5910">
        <w:rPr>
          <w:bCs/>
          <w:color w:val="111727"/>
          <w:sz w:val="22"/>
          <w:szCs w:val="22"/>
        </w:rPr>
        <w:t>Biji</w:t>
      </w:r>
      <w:r w:rsidRPr="00AA5910">
        <w:rPr>
          <w:bCs/>
          <w:color w:val="111727"/>
          <w:spacing w:val="-6"/>
          <w:sz w:val="22"/>
          <w:szCs w:val="22"/>
        </w:rPr>
        <w:t xml:space="preserve"> </w:t>
      </w:r>
      <w:r w:rsidRPr="00AA5910">
        <w:rPr>
          <w:bCs/>
          <w:color w:val="111727"/>
          <w:sz w:val="22"/>
          <w:szCs w:val="22"/>
        </w:rPr>
        <w:t>Anggur</w:t>
      </w:r>
      <w:r w:rsidRPr="00AA5910">
        <w:rPr>
          <w:bCs/>
          <w:color w:val="111727"/>
          <w:spacing w:val="-6"/>
          <w:sz w:val="22"/>
          <w:szCs w:val="22"/>
        </w:rPr>
        <w:t xml:space="preserve"> </w:t>
      </w:r>
      <w:r w:rsidRPr="00AA5910">
        <w:rPr>
          <w:bCs/>
          <w:color w:val="111727"/>
          <w:sz w:val="22"/>
          <w:szCs w:val="22"/>
        </w:rPr>
        <w:t>Merah</w:t>
      </w:r>
      <w:r w:rsidRPr="00AA5910">
        <w:rPr>
          <w:bCs/>
          <w:color w:val="111727"/>
          <w:spacing w:val="-5"/>
          <w:sz w:val="22"/>
          <w:szCs w:val="22"/>
        </w:rPr>
        <w:t xml:space="preserve"> </w:t>
      </w:r>
      <w:r w:rsidRPr="00AA5910">
        <w:rPr>
          <w:bCs/>
          <w:color w:val="111727"/>
          <w:sz w:val="22"/>
          <w:szCs w:val="22"/>
        </w:rPr>
        <w:t>(</w:t>
      </w:r>
      <w:r w:rsidRPr="00AA5910">
        <w:rPr>
          <w:bCs/>
          <w:i/>
          <w:color w:val="111727"/>
          <w:sz w:val="22"/>
          <w:szCs w:val="22"/>
        </w:rPr>
        <w:t>Vitis</w:t>
      </w:r>
      <w:r w:rsidRPr="00AA5910">
        <w:rPr>
          <w:bCs/>
          <w:i/>
          <w:color w:val="111727"/>
          <w:spacing w:val="-9"/>
          <w:sz w:val="22"/>
          <w:szCs w:val="22"/>
        </w:rPr>
        <w:t xml:space="preserve"> </w:t>
      </w:r>
      <w:r w:rsidRPr="00AA5910">
        <w:rPr>
          <w:bCs/>
          <w:i/>
          <w:color w:val="111727"/>
          <w:sz w:val="22"/>
          <w:szCs w:val="22"/>
        </w:rPr>
        <w:t>vinifera</w:t>
      </w:r>
      <w:r w:rsidRPr="00AA5910">
        <w:rPr>
          <w:bCs/>
          <w:i/>
          <w:color w:val="111727"/>
          <w:spacing w:val="-4"/>
          <w:sz w:val="22"/>
          <w:szCs w:val="22"/>
        </w:rPr>
        <w:t xml:space="preserve"> </w:t>
      </w:r>
      <w:r w:rsidRPr="00AA5910">
        <w:rPr>
          <w:bCs/>
          <w:color w:val="111727"/>
          <w:sz w:val="22"/>
          <w:szCs w:val="22"/>
        </w:rPr>
        <w:t>L.)</w:t>
      </w:r>
      <w:bookmarkEnd w:id="0"/>
    </w:p>
    <w:p w:rsidR="00AA5910" w:rsidRPr="00AA5910" w:rsidRDefault="00AA5910" w:rsidP="00821ADA">
      <w:pPr>
        <w:tabs>
          <w:tab w:val="left" w:pos="810"/>
          <w:tab w:val="left" w:pos="1090"/>
        </w:tabs>
        <w:ind w:right="408"/>
        <w:jc w:val="both"/>
        <w:rPr>
          <w:sz w:val="22"/>
          <w:szCs w:val="22"/>
        </w:rPr>
      </w:pPr>
      <w:r w:rsidRPr="00AA5910">
        <w:rPr>
          <w:noProof/>
          <w:sz w:val="22"/>
          <w:szCs w:val="22"/>
        </w:rPr>
        <w:drawing>
          <wp:inline distT="0" distB="0" distL="0" distR="0">
            <wp:extent cx="5726079" cy="5101936"/>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3099" cy="5108190"/>
                    </a:xfrm>
                    <a:prstGeom prst="rect">
                      <a:avLst/>
                    </a:prstGeom>
                    <a:noFill/>
                    <a:ln>
                      <a:noFill/>
                    </a:ln>
                  </pic:spPr>
                </pic:pic>
              </a:graphicData>
            </a:graphic>
          </wp:inline>
        </w:drawing>
      </w:r>
    </w:p>
    <w:p w:rsidR="00AA5910" w:rsidRPr="00AA5910" w:rsidRDefault="00AA5910">
      <w:pPr>
        <w:spacing w:after="160" w:line="259" w:lineRule="auto"/>
        <w:rPr>
          <w:sz w:val="22"/>
          <w:szCs w:val="22"/>
        </w:rPr>
      </w:pPr>
      <w:r w:rsidRPr="00AA5910">
        <w:rPr>
          <w:sz w:val="22"/>
          <w:szCs w:val="22"/>
        </w:rPr>
        <w:br w:type="page"/>
      </w:r>
    </w:p>
    <w:p w:rsidR="00DD6905" w:rsidRDefault="00DD6905" w:rsidP="00821ADA">
      <w:pPr>
        <w:tabs>
          <w:tab w:val="left" w:pos="810"/>
          <w:tab w:val="left" w:pos="1090"/>
        </w:tabs>
        <w:ind w:right="408"/>
        <w:jc w:val="both"/>
        <w:rPr>
          <w:b/>
          <w:bCs/>
          <w:sz w:val="22"/>
          <w:szCs w:val="22"/>
        </w:rPr>
        <w:sectPr w:rsidR="00DD6905" w:rsidSect="00B41307">
          <w:headerReference w:type="default" r:id="rId43"/>
          <w:footerReference w:type="default" r:id="rId44"/>
          <w:pgSz w:w="11910" w:h="16840"/>
          <w:pgMar w:top="1580" w:right="1220" w:bottom="1240" w:left="1600" w:header="0" w:footer="1042" w:gutter="0"/>
          <w:cols w:space="720"/>
        </w:sectPr>
      </w:pPr>
    </w:p>
    <w:p w:rsidR="00821ADA" w:rsidRPr="00AA5910" w:rsidRDefault="00AA5910" w:rsidP="00821ADA">
      <w:pPr>
        <w:tabs>
          <w:tab w:val="left" w:pos="810"/>
          <w:tab w:val="left" w:pos="1090"/>
        </w:tabs>
        <w:ind w:right="408"/>
        <w:jc w:val="both"/>
        <w:rPr>
          <w:bCs/>
          <w:sz w:val="22"/>
          <w:szCs w:val="22"/>
        </w:rPr>
      </w:pPr>
      <w:r w:rsidRPr="00AA5910">
        <w:rPr>
          <w:b/>
          <w:bCs/>
          <w:sz w:val="22"/>
          <w:szCs w:val="22"/>
        </w:rPr>
        <w:lastRenderedPageBreak/>
        <w:t>Lampiran</w:t>
      </w:r>
      <w:r w:rsidRPr="00AA5910">
        <w:rPr>
          <w:b/>
          <w:bCs/>
          <w:spacing w:val="-9"/>
          <w:sz w:val="22"/>
          <w:szCs w:val="22"/>
        </w:rPr>
        <w:t xml:space="preserve"> </w:t>
      </w:r>
      <w:r w:rsidRPr="00AA5910">
        <w:rPr>
          <w:b/>
          <w:bCs/>
          <w:sz w:val="22"/>
          <w:szCs w:val="22"/>
        </w:rPr>
        <w:t>2:</w:t>
      </w:r>
      <w:r w:rsidRPr="00AA5910">
        <w:rPr>
          <w:b/>
          <w:bCs/>
          <w:spacing w:val="-7"/>
          <w:sz w:val="22"/>
          <w:szCs w:val="22"/>
        </w:rPr>
        <w:t xml:space="preserve"> </w:t>
      </w:r>
      <w:r w:rsidRPr="00AA5910">
        <w:rPr>
          <w:bCs/>
          <w:sz w:val="22"/>
          <w:szCs w:val="22"/>
        </w:rPr>
        <w:t>Hasil</w:t>
      </w:r>
      <w:r w:rsidRPr="00AA5910">
        <w:rPr>
          <w:bCs/>
          <w:spacing w:val="-7"/>
          <w:sz w:val="22"/>
          <w:szCs w:val="22"/>
        </w:rPr>
        <w:t xml:space="preserve"> </w:t>
      </w:r>
      <w:r w:rsidRPr="00AA5910">
        <w:rPr>
          <w:bCs/>
          <w:sz w:val="22"/>
          <w:szCs w:val="22"/>
        </w:rPr>
        <w:t>Analisis</w:t>
      </w:r>
      <w:r w:rsidRPr="00AA5910">
        <w:rPr>
          <w:bCs/>
          <w:spacing w:val="-8"/>
          <w:sz w:val="22"/>
          <w:szCs w:val="22"/>
        </w:rPr>
        <w:t xml:space="preserve"> </w:t>
      </w:r>
      <w:r w:rsidRPr="00AA5910">
        <w:rPr>
          <w:bCs/>
          <w:sz w:val="22"/>
          <w:szCs w:val="22"/>
        </w:rPr>
        <w:t>Menurut</w:t>
      </w:r>
      <w:r w:rsidRPr="00AA5910">
        <w:rPr>
          <w:bCs/>
          <w:spacing w:val="-2"/>
          <w:sz w:val="22"/>
          <w:szCs w:val="22"/>
        </w:rPr>
        <w:t xml:space="preserve"> </w:t>
      </w:r>
      <w:r w:rsidRPr="00AA5910">
        <w:rPr>
          <w:bCs/>
          <w:sz w:val="22"/>
          <w:szCs w:val="22"/>
        </w:rPr>
        <w:t>Lipinski’s</w:t>
      </w:r>
      <w:r w:rsidRPr="00AA5910">
        <w:rPr>
          <w:bCs/>
          <w:spacing w:val="-7"/>
          <w:sz w:val="22"/>
          <w:szCs w:val="22"/>
        </w:rPr>
        <w:t xml:space="preserve"> </w:t>
      </w:r>
      <w:r w:rsidRPr="00AA5910">
        <w:rPr>
          <w:bCs/>
          <w:sz w:val="22"/>
          <w:szCs w:val="22"/>
        </w:rPr>
        <w:t>rule</w:t>
      </w:r>
    </w:p>
    <w:p w:rsidR="00AA5910" w:rsidRPr="00AA5910" w:rsidRDefault="00AA5910" w:rsidP="00821ADA">
      <w:pPr>
        <w:tabs>
          <w:tab w:val="left" w:pos="810"/>
          <w:tab w:val="left" w:pos="1090"/>
        </w:tabs>
        <w:ind w:right="408"/>
        <w:jc w:val="both"/>
        <w:rPr>
          <w:sz w:val="22"/>
          <w:szCs w:val="22"/>
        </w:rPr>
      </w:pPr>
      <w:r w:rsidRPr="00AA5910">
        <w:rPr>
          <w:noProof/>
          <w:sz w:val="22"/>
          <w:szCs w:val="22"/>
        </w:rPr>
        <w:drawing>
          <wp:inline distT="0" distB="0" distL="0" distR="0">
            <wp:extent cx="5920336" cy="7055485"/>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8657"/>
                    <a:stretch/>
                  </pic:blipFill>
                  <pic:spPr bwMode="auto">
                    <a:xfrm>
                      <a:off x="0" y="0"/>
                      <a:ext cx="5920336" cy="7055485"/>
                    </a:xfrm>
                    <a:prstGeom prst="rect">
                      <a:avLst/>
                    </a:prstGeom>
                    <a:noFill/>
                    <a:ln>
                      <a:noFill/>
                    </a:ln>
                    <a:extLst>
                      <a:ext uri="{53640926-AAD7-44D8-BBD7-CCE9431645EC}">
                        <a14:shadowObscured xmlns:a14="http://schemas.microsoft.com/office/drawing/2010/main"/>
                      </a:ext>
                    </a:extLst>
                  </pic:spPr>
                </pic:pic>
              </a:graphicData>
            </a:graphic>
          </wp:inline>
        </w:drawing>
      </w:r>
    </w:p>
    <w:p w:rsidR="00AA5910" w:rsidRPr="00AA5910" w:rsidRDefault="00AA5910">
      <w:pPr>
        <w:spacing w:after="160" w:line="259" w:lineRule="auto"/>
        <w:rPr>
          <w:sz w:val="22"/>
          <w:szCs w:val="22"/>
        </w:rPr>
      </w:pPr>
      <w:r w:rsidRPr="00AA5910">
        <w:rPr>
          <w:sz w:val="22"/>
          <w:szCs w:val="22"/>
        </w:rPr>
        <w:br w:type="page"/>
      </w:r>
    </w:p>
    <w:p w:rsidR="00DD6905" w:rsidRDefault="00DD6905" w:rsidP="00AA5910">
      <w:pPr>
        <w:pStyle w:val="BodyText"/>
        <w:spacing w:before="103"/>
        <w:ind w:left="102"/>
        <w:rPr>
          <w:b/>
          <w:sz w:val="22"/>
          <w:szCs w:val="22"/>
        </w:rPr>
        <w:sectPr w:rsidR="00DD6905" w:rsidSect="00B41307">
          <w:footerReference w:type="default" r:id="rId46"/>
          <w:pgSz w:w="11910" w:h="16840"/>
          <w:pgMar w:top="1580" w:right="1220" w:bottom="1240" w:left="1600" w:header="0" w:footer="1042" w:gutter="0"/>
          <w:cols w:space="720"/>
        </w:sectPr>
      </w:pPr>
    </w:p>
    <w:p w:rsidR="00AA5910" w:rsidRPr="00AA5910" w:rsidRDefault="00AA5910" w:rsidP="00AA5910">
      <w:pPr>
        <w:pStyle w:val="BodyText"/>
        <w:spacing w:before="103"/>
        <w:ind w:left="102"/>
        <w:rPr>
          <w:sz w:val="22"/>
          <w:szCs w:val="22"/>
        </w:rPr>
      </w:pPr>
      <w:r w:rsidRPr="00AA5910">
        <w:rPr>
          <w:b/>
          <w:sz w:val="22"/>
          <w:szCs w:val="22"/>
        </w:rPr>
        <w:lastRenderedPageBreak/>
        <w:t>Lampiran</w:t>
      </w:r>
      <w:r w:rsidRPr="00AA5910">
        <w:rPr>
          <w:b/>
          <w:spacing w:val="-2"/>
          <w:sz w:val="22"/>
          <w:szCs w:val="22"/>
        </w:rPr>
        <w:t xml:space="preserve"> </w:t>
      </w:r>
      <w:r w:rsidRPr="00AA5910">
        <w:rPr>
          <w:b/>
          <w:sz w:val="22"/>
          <w:szCs w:val="22"/>
        </w:rPr>
        <w:t>3:</w:t>
      </w:r>
      <w:r w:rsidRPr="00AA5910">
        <w:rPr>
          <w:spacing w:val="-4"/>
          <w:sz w:val="22"/>
          <w:szCs w:val="22"/>
        </w:rPr>
        <w:t xml:space="preserve"> </w:t>
      </w:r>
      <w:r w:rsidRPr="00AA5910">
        <w:rPr>
          <w:sz w:val="22"/>
          <w:szCs w:val="22"/>
        </w:rPr>
        <w:t>Visualisasi</w:t>
      </w:r>
      <w:r w:rsidRPr="00AA5910">
        <w:rPr>
          <w:spacing w:val="-2"/>
          <w:sz w:val="22"/>
          <w:szCs w:val="22"/>
        </w:rPr>
        <w:t xml:space="preserve"> </w:t>
      </w:r>
      <w:r w:rsidRPr="00AA5910">
        <w:rPr>
          <w:sz w:val="22"/>
          <w:szCs w:val="22"/>
        </w:rPr>
        <w:t>2D</w:t>
      </w:r>
      <w:r w:rsidRPr="00AA5910">
        <w:rPr>
          <w:spacing w:val="-2"/>
          <w:sz w:val="22"/>
          <w:szCs w:val="22"/>
        </w:rPr>
        <w:t xml:space="preserve"> </w:t>
      </w:r>
      <w:r w:rsidRPr="00AA5910">
        <w:rPr>
          <w:sz w:val="22"/>
          <w:szCs w:val="22"/>
        </w:rPr>
        <w:t>Interaksi</w:t>
      </w:r>
      <w:r w:rsidRPr="00AA5910">
        <w:rPr>
          <w:spacing w:val="-1"/>
          <w:sz w:val="22"/>
          <w:szCs w:val="22"/>
        </w:rPr>
        <w:t xml:space="preserve"> </w:t>
      </w:r>
      <w:r w:rsidRPr="00AA5910">
        <w:rPr>
          <w:sz w:val="22"/>
          <w:szCs w:val="22"/>
        </w:rPr>
        <w:t>antara</w:t>
      </w:r>
      <w:r w:rsidRPr="00AA5910">
        <w:rPr>
          <w:spacing w:val="-3"/>
          <w:sz w:val="22"/>
          <w:szCs w:val="22"/>
        </w:rPr>
        <w:t xml:space="preserve"> </w:t>
      </w:r>
      <w:r w:rsidRPr="00AA5910">
        <w:rPr>
          <w:sz w:val="22"/>
          <w:szCs w:val="22"/>
        </w:rPr>
        <w:t>Ligan</w:t>
      </w:r>
      <w:r w:rsidRPr="00AA5910">
        <w:rPr>
          <w:spacing w:val="-2"/>
          <w:sz w:val="22"/>
          <w:szCs w:val="22"/>
        </w:rPr>
        <w:t xml:space="preserve"> </w:t>
      </w:r>
      <w:r w:rsidRPr="00AA5910">
        <w:rPr>
          <w:sz w:val="22"/>
          <w:szCs w:val="22"/>
        </w:rPr>
        <w:t>dan</w:t>
      </w:r>
      <w:r w:rsidRPr="00AA5910">
        <w:rPr>
          <w:spacing w:val="-2"/>
          <w:sz w:val="22"/>
          <w:szCs w:val="22"/>
        </w:rPr>
        <w:t xml:space="preserve"> </w:t>
      </w:r>
      <w:r w:rsidRPr="00AA5910">
        <w:rPr>
          <w:sz w:val="22"/>
          <w:szCs w:val="22"/>
        </w:rPr>
        <w:t>Protein</w:t>
      </w:r>
    </w:p>
    <w:p w:rsidR="00AA5910" w:rsidRPr="00AA5910" w:rsidRDefault="00AA5910" w:rsidP="00AA5910">
      <w:pPr>
        <w:pStyle w:val="BodyText"/>
        <w:rPr>
          <w:sz w:val="22"/>
          <w:szCs w:val="22"/>
        </w:rPr>
      </w:pPr>
    </w:p>
    <w:p w:rsidR="00AA5910" w:rsidRPr="00AA5910" w:rsidRDefault="00AA5910" w:rsidP="00AA5910">
      <w:pPr>
        <w:pStyle w:val="BodyText"/>
        <w:spacing w:before="7"/>
        <w:rPr>
          <w:sz w:val="22"/>
          <w:szCs w:val="22"/>
        </w:rPr>
      </w:pPr>
      <w:r w:rsidRPr="00AA5910">
        <w:rPr>
          <w:noProof/>
          <w:sz w:val="22"/>
          <w:szCs w:val="22"/>
          <w:lang w:val="en-US" w:eastAsia="en-US"/>
        </w:rPr>
        <w:drawing>
          <wp:anchor distT="0" distB="0" distL="0" distR="0" simplePos="0" relativeHeight="251659264" behindDoc="0" locked="0" layoutInCell="1" allowOverlap="1">
            <wp:simplePos x="0" y="0"/>
            <wp:positionH relativeFrom="page">
              <wp:posOffset>1151890</wp:posOffset>
            </wp:positionH>
            <wp:positionV relativeFrom="paragraph">
              <wp:posOffset>208280</wp:posOffset>
            </wp:positionV>
            <wp:extent cx="5078095" cy="3169920"/>
            <wp:effectExtent l="0" t="0" r="8255"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78095"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910" w:rsidRPr="00AA5910" w:rsidRDefault="00AA5910" w:rsidP="00AA5910">
      <w:pPr>
        <w:pStyle w:val="BodyText"/>
        <w:spacing w:before="112"/>
        <w:ind w:left="2211" w:right="2475"/>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2"/>
          <w:sz w:val="22"/>
          <w:szCs w:val="22"/>
        </w:rPr>
        <w:t xml:space="preserve"> </w:t>
      </w:r>
      <w:r w:rsidRPr="00AA5910">
        <w:rPr>
          <w:sz w:val="22"/>
          <w:szCs w:val="22"/>
        </w:rPr>
        <w:t>Naringenin</w:t>
      </w:r>
      <w:r w:rsidRPr="00AA5910">
        <w:rPr>
          <w:spacing w:val="-1"/>
          <w:sz w:val="22"/>
          <w:szCs w:val="22"/>
        </w:rPr>
        <w:t xml:space="preserve"> </w:t>
      </w:r>
      <w:r w:rsidRPr="00AA5910">
        <w:rPr>
          <w:sz w:val="22"/>
          <w:szCs w:val="22"/>
        </w:rPr>
        <w:t>dan</w:t>
      </w:r>
      <w:r w:rsidRPr="00AA5910">
        <w:rPr>
          <w:spacing w:val="-3"/>
          <w:sz w:val="22"/>
          <w:szCs w:val="22"/>
        </w:rPr>
        <w:t xml:space="preserve"> </w:t>
      </w:r>
      <w:r w:rsidRPr="00AA5910">
        <w:rPr>
          <w:sz w:val="22"/>
          <w:szCs w:val="22"/>
        </w:rPr>
        <w:t>Dvl-2</w:t>
      </w:r>
    </w:p>
    <w:p w:rsidR="00AA5910" w:rsidRPr="00AA5910" w:rsidRDefault="00AA5910" w:rsidP="00AA5910">
      <w:pPr>
        <w:pStyle w:val="BodyText"/>
        <w:rPr>
          <w:sz w:val="22"/>
          <w:szCs w:val="22"/>
        </w:rPr>
      </w:pPr>
    </w:p>
    <w:p w:rsidR="00AA5910" w:rsidRPr="00AA5910" w:rsidRDefault="00AA5910" w:rsidP="00AA5910">
      <w:pPr>
        <w:pStyle w:val="BodyText"/>
        <w:spacing w:before="7"/>
        <w:rPr>
          <w:sz w:val="22"/>
          <w:szCs w:val="22"/>
        </w:rPr>
      </w:pPr>
      <w:r w:rsidRPr="00AA5910">
        <w:rPr>
          <w:noProof/>
          <w:sz w:val="22"/>
          <w:szCs w:val="22"/>
          <w:lang w:val="en-US" w:eastAsia="en-US"/>
        </w:rPr>
        <w:drawing>
          <wp:anchor distT="0" distB="0" distL="0" distR="0" simplePos="0" relativeHeight="251660288" behindDoc="0" locked="0" layoutInCell="1" allowOverlap="1">
            <wp:simplePos x="0" y="0"/>
            <wp:positionH relativeFrom="page">
              <wp:posOffset>1329055</wp:posOffset>
            </wp:positionH>
            <wp:positionV relativeFrom="paragraph">
              <wp:posOffset>148590</wp:posOffset>
            </wp:positionV>
            <wp:extent cx="4973955" cy="3151505"/>
            <wp:effectExtent l="0" t="0" r="0"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73955" cy="315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910" w:rsidRPr="00AA5910" w:rsidRDefault="00AA5910" w:rsidP="00AA5910">
      <w:pPr>
        <w:pStyle w:val="BodyText"/>
        <w:spacing w:before="113"/>
        <w:ind w:left="2211" w:right="2475"/>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2"/>
          <w:sz w:val="22"/>
          <w:szCs w:val="22"/>
        </w:rPr>
        <w:t xml:space="preserve"> </w:t>
      </w:r>
      <w:r w:rsidRPr="00AA5910">
        <w:rPr>
          <w:sz w:val="22"/>
          <w:szCs w:val="22"/>
        </w:rPr>
        <w:t>Doxorubicin</w:t>
      </w:r>
      <w:r w:rsidRPr="00AA5910">
        <w:rPr>
          <w:spacing w:val="-2"/>
          <w:sz w:val="22"/>
          <w:szCs w:val="22"/>
        </w:rPr>
        <w:t xml:space="preserve"> </w:t>
      </w:r>
      <w:r w:rsidRPr="00AA5910">
        <w:rPr>
          <w:sz w:val="22"/>
          <w:szCs w:val="22"/>
        </w:rPr>
        <w:t>dan</w:t>
      </w:r>
      <w:r w:rsidRPr="00AA5910">
        <w:rPr>
          <w:spacing w:val="-2"/>
          <w:sz w:val="22"/>
          <w:szCs w:val="22"/>
        </w:rPr>
        <w:t xml:space="preserve"> </w:t>
      </w:r>
      <w:r w:rsidRPr="00AA5910">
        <w:rPr>
          <w:sz w:val="22"/>
          <w:szCs w:val="22"/>
        </w:rPr>
        <w:t>Dvl-2</w:t>
      </w:r>
    </w:p>
    <w:p w:rsidR="00AA5910" w:rsidRPr="00AA5910" w:rsidRDefault="00AA5910" w:rsidP="00AA5910">
      <w:pPr>
        <w:pStyle w:val="BodyText"/>
        <w:spacing w:before="9"/>
        <w:rPr>
          <w:sz w:val="22"/>
          <w:szCs w:val="22"/>
        </w:rPr>
      </w:pPr>
    </w:p>
    <w:p w:rsidR="00DD6905" w:rsidRDefault="00DD6905" w:rsidP="00AA5910">
      <w:pPr>
        <w:pStyle w:val="BodyText"/>
        <w:ind w:left="485"/>
        <w:rPr>
          <w:sz w:val="22"/>
          <w:szCs w:val="22"/>
        </w:rPr>
        <w:sectPr w:rsidR="00DD6905" w:rsidSect="00B41307">
          <w:footerReference w:type="default" r:id="rId49"/>
          <w:pgSz w:w="11910" w:h="16840"/>
          <w:pgMar w:top="1580" w:right="1220" w:bottom="1240" w:left="1600" w:header="0" w:footer="1042" w:gutter="0"/>
          <w:cols w:space="720"/>
        </w:sectPr>
      </w:pPr>
    </w:p>
    <w:p w:rsidR="00AA5910" w:rsidRPr="00AA5910" w:rsidRDefault="00AA5910" w:rsidP="00AA5910">
      <w:pPr>
        <w:pStyle w:val="BodyText"/>
        <w:ind w:left="485"/>
        <w:rPr>
          <w:sz w:val="22"/>
          <w:szCs w:val="22"/>
        </w:rPr>
      </w:pPr>
      <w:r w:rsidRPr="00AA5910">
        <w:rPr>
          <w:noProof/>
          <w:sz w:val="22"/>
          <w:szCs w:val="22"/>
          <w:lang w:val="en-US" w:eastAsia="en-US"/>
        </w:rPr>
        <w:lastRenderedPageBreak/>
        <w:drawing>
          <wp:inline distT="0" distB="0" distL="0" distR="0">
            <wp:extent cx="4984115" cy="3200400"/>
            <wp:effectExtent l="0" t="0" r="698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84115" cy="3200400"/>
                    </a:xfrm>
                    <a:prstGeom prst="rect">
                      <a:avLst/>
                    </a:prstGeom>
                    <a:noFill/>
                    <a:ln>
                      <a:noFill/>
                    </a:ln>
                  </pic:spPr>
                </pic:pic>
              </a:graphicData>
            </a:graphic>
          </wp:inline>
        </w:drawing>
      </w:r>
    </w:p>
    <w:p w:rsidR="00AA5910" w:rsidRPr="0051620C" w:rsidRDefault="00AA5910" w:rsidP="00AA5910">
      <w:pPr>
        <w:pStyle w:val="BodyText"/>
        <w:spacing w:before="115"/>
        <w:ind w:left="2161" w:right="2423"/>
        <w:jc w:val="center"/>
        <w:rPr>
          <w:sz w:val="22"/>
          <w:szCs w:val="22"/>
          <w:lang w:val="en-US"/>
        </w:rPr>
      </w:pPr>
      <w:r w:rsidRPr="00AA5910">
        <w:rPr>
          <w:sz w:val="22"/>
          <w:szCs w:val="22"/>
        </w:rPr>
        <w:t>Interaksi</w:t>
      </w:r>
      <w:r w:rsidRPr="00AA5910">
        <w:rPr>
          <w:spacing w:val="-2"/>
          <w:sz w:val="22"/>
          <w:szCs w:val="22"/>
        </w:rPr>
        <w:t xml:space="preserve"> </w:t>
      </w:r>
      <w:r w:rsidRPr="00AA5910">
        <w:rPr>
          <w:sz w:val="22"/>
          <w:szCs w:val="22"/>
        </w:rPr>
        <w:t>2</w:t>
      </w:r>
      <w:r w:rsidRPr="00AA5910">
        <w:rPr>
          <w:spacing w:val="-1"/>
          <w:sz w:val="22"/>
          <w:szCs w:val="22"/>
        </w:rPr>
        <w:t xml:space="preserve"> </w:t>
      </w:r>
      <w:r w:rsidRPr="00AA5910">
        <w:rPr>
          <w:sz w:val="22"/>
          <w:szCs w:val="22"/>
        </w:rPr>
        <w:t>Dimensi</w:t>
      </w:r>
      <w:r w:rsidRPr="00AA5910">
        <w:rPr>
          <w:spacing w:val="-1"/>
          <w:sz w:val="22"/>
          <w:szCs w:val="22"/>
        </w:rPr>
        <w:t xml:space="preserve"> </w:t>
      </w:r>
      <w:r w:rsidRPr="00AA5910">
        <w:rPr>
          <w:sz w:val="22"/>
          <w:szCs w:val="22"/>
        </w:rPr>
        <w:t>Naringenin</w:t>
      </w:r>
      <w:r w:rsidRPr="00AA5910">
        <w:rPr>
          <w:spacing w:val="-1"/>
          <w:sz w:val="22"/>
          <w:szCs w:val="22"/>
        </w:rPr>
        <w:t xml:space="preserve"> </w:t>
      </w:r>
      <w:r w:rsidRPr="00AA5910">
        <w:rPr>
          <w:sz w:val="22"/>
          <w:szCs w:val="22"/>
        </w:rPr>
        <w:t>dan</w:t>
      </w:r>
      <w:r w:rsidRPr="00AA5910">
        <w:rPr>
          <w:spacing w:val="-2"/>
          <w:sz w:val="22"/>
          <w:szCs w:val="22"/>
        </w:rPr>
        <w:t xml:space="preserve"> </w:t>
      </w:r>
      <w:r w:rsidRPr="00AA5910">
        <w:rPr>
          <w:sz w:val="22"/>
          <w:szCs w:val="22"/>
        </w:rPr>
        <w:t>FZD-</w:t>
      </w:r>
      <w:r w:rsidR="0051620C">
        <w:rPr>
          <w:sz w:val="22"/>
          <w:szCs w:val="22"/>
          <w:lang w:val="en-US"/>
        </w:rPr>
        <w:t>2</w:t>
      </w:r>
    </w:p>
    <w:p w:rsidR="00AA5910" w:rsidRPr="00AA5910" w:rsidRDefault="00AA5910" w:rsidP="00AA5910">
      <w:pPr>
        <w:pStyle w:val="BodyText"/>
        <w:spacing w:before="115"/>
        <w:ind w:left="2161" w:right="2423"/>
        <w:jc w:val="center"/>
        <w:rPr>
          <w:sz w:val="22"/>
          <w:szCs w:val="22"/>
        </w:rPr>
      </w:pPr>
    </w:p>
    <w:p w:rsidR="00AA5910" w:rsidRPr="00AA5910" w:rsidRDefault="00AA5910" w:rsidP="00AA5910">
      <w:pPr>
        <w:pStyle w:val="BodyText"/>
        <w:spacing w:before="9"/>
        <w:rPr>
          <w:sz w:val="22"/>
          <w:szCs w:val="22"/>
        </w:rPr>
      </w:pPr>
      <w:r w:rsidRPr="00AA5910">
        <w:rPr>
          <w:noProof/>
          <w:sz w:val="22"/>
          <w:szCs w:val="22"/>
          <w:lang w:val="en-US" w:eastAsia="en-US"/>
        </w:rPr>
        <w:drawing>
          <wp:anchor distT="0" distB="0" distL="0" distR="0" simplePos="0" relativeHeight="251661312" behindDoc="0" locked="0" layoutInCell="1" allowOverlap="1">
            <wp:simplePos x="0" y="0"/>
            <wp:positionH relativeFrom="page">
              <wp:posOffset>1167130</wp:posOffset>
            </wp:positionH>
            <wp:positionV relativeFrom="paragraph">
              <wp:posOffset>120015</wp:posOffset>
            </wp:positionV>
            <wp:extent cx="5297805" cy="3425825"/>
            <wp:effectExtent l="0" t="0" r="0" b="317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97805" cy="342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910" w:rsidRPr="00AA5910" w:rsidRDefault="00AA5910" w:rsidP="00AA5910">
      <w:pPr>
        <w:pStyle w:val="BodyText"/>
        <w:spacing w:before="117"/>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1"/>
          <w:sz w:val="22"/>
          <w:szCs w:val="22"/>
        </w:rPr>
        <w:t xml:space="preserve"> </w:t>
      </w:r>
      <w:r w:rsidRPr="00AA5910">
        <w:rPr>
          <w:sz w:val="22"/>
          <w:szCs w:val="22"/>
        </w:rPr>
        <w:t>Doxorubicin</w:t>
      </w:r>
      <w:r w:rsidRPr="00AA5910">
        <w:rPr>
          <w:spacing w:val="-2"/>
          <w:sz w:val="22"/>
          <w:szCs w:val="22"/>
        </w:rPr>
        <w:t xml:space="preserve"> </w:t>
      </w:r>
      <w:r w:rsidRPr="00AA5910">
        <w:rPr>
          <w:sz w:val="22"/>
          <w:szCs w:val="22"/>
        </w:rPr>
        <w:t>dan</w:t>
      </w:r>
      <w:r w:rsidRPr="00AA5910">
        <w:rPr>
          <w:spacing w:val="-1"/>
          <w:sz w:val="22"/>
          <w:szCs w:val="22"/>
        </w:rPr>
        <w:t xml:space="preserve"> </w:t>
      </w:r>
      <w:r w:rsidRPr="00AA5910">
        <w:rPr>
          <w:sz w:val="22"/>
          <w:szCs w:val="22"/>
        </w:rPr>
        <w:t>FZD-2</w:t>
      </w:r>
    </w:p>
    <w:p w:rsidR="00AA5910" w:rsidRPr="00AA5910" w:rsidRDefault="00AA5910" w:rsidP="00DD6905">
      <w:pPr>
        <w:rPr>
          <w:sz w:val="22"/>
          <w:szCs w:val="22"/>
        </w:rPr>
        <w:sectPr w:rsidR="00AA5910" w:rsidRPr="00AA5910" w:rsidSect="00B41307">
          <w:footerReference w:type="default" r:id="rId52"/>
          <w:pgSz w:w="11910" w:h="16840"/>
          <w:pgMar w:top="1580" w:right="1220" w:bottom="1240" w:left="1600" w:header="0" w:footer="1042" w:gutter="0"/>
          <w:cols w:space="720"/>
        </w:sectPr>
      </w:pPr>
    </w:p>
    <w:p w:rsidR="00AA5910" w:rsidRPr="00AA5910" w:rsidRDefault="00AA5910" w:rsidP="00DD6905">
      <w:pPr>
        <w:pStyle w:val="BodyText"/>
        <w:jc w:val="center"/>
        <w:rPr>
          <w:sz w:val="22"/>
          <w:szCs w:val="22"/>
        </w:rPr>
      </w:pPr>
      <w:r w:rsidRPr="00AA5910">
        <w:rPr>
          <w:noProof/>
          <w:sz w:val="22"/>
          <w:szCs w:val="22"/>
          <w:lang w:val="en-US" w:eastAsia="en-US"/>
        </w:rPr>
        <w:lastRenderedPageBreak/>
        <w:drawing>
          <wp:inline distT="0" distB="0" distL="0" distR="0">
            <wp:extent cx="5118735" cy="3137535"/>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18735" cy="3137535"/>
                    </a:xfrm>
                    <a:prstGeom prst="rect">
                      <a:avLst/>
                    </a:prstGeom>
                    <a:noFill/>
                    <a:ln>
                      <a:noFill/>
                    </a:ln>
                  </pic:spPr>
                </pic:pic>
              </a:graphicData>
            </a:graphic>
          </wp:inline>
        </w:drawing>
      </w:r>
    </w:p>
    <w:p w:rsidR="00AA5910" w:rsidRPr="00AA5910" w:rsidRDefault="00AA5910" w:rsidP="00AA5910">
      <w:pPr>
        <w:pStyle w:val="BodyText"/>
        <w:spacing w:before="147"/>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1"/>
          <w:sz w:val="22"/>
          <w:szCs w:val="22"/>
        </w:rPr>
        <w:t xml:space="preserve"> </w:t>
      </w:r>
      <w:r w:rsidRPr="00AA5910">
        <w:rPr>
          <w:sz w:val="22"/>
          <w:szCs w:val="22"/>
        </w:rPr>
        <w:t>Dimensi</w:t>
      </w:r>
      <w:r w:rsidRPr="00AA5910">
        <w:rPr>
          <w:spacing w:val="-1"/>
          <w:sz w:val="22"/>
          <w:szCs w:val="22"/>
        </w:rPr>
        <w:t xml:space="preserve"> </w:t>
      </w:r>
      <w:r w:rsidRPr="00AA5910">
        <w:rPr>
          <w:sz w:val="22"/>
          <w:szCs w:val="22"/>
        </w:rPr>
        <w:t>Naringenin</w:t>
      </w:r>
      <w:r w:rsidRPr="00AA5910">
        <w:rPr>
          <w:spacing w:val="-1"/>
          <w:sz w:val="22"/>
          <w:szCs w:val="22"/>
        </w:rPr>
        <w:t xml:space="preserve"> </w:t>
      </w:r>
      <w:r w:rsidRPr="00AA5910">
        <w:rPr>
          <w:sz w:val="22"/>
          <w:szCs w:val="22"/>
        </w:rPr>
        <w:t>dan</w:t>
      </w:r>
      <w:r w:rsidRPr="00AA5910">
        <w:rPr>
          <w:spacing w:val="-2"/>
          <w:sz w:val="22"/>
          <w:szCs w:val="22"/>
        </w:rPr>
        <w:t xml:space="preserve"> </w:t>
      </w:r>
      <w:r w:rsidRPr="00AA5910">
        <w:rPr>
          <w:sz w:val="22"/>
          <w:szCs w:val="22"/>
        </w:rPr>
        <w:t>FZD-3</w:t>
      </w:r>
    </w:p>
    <w:p w:rsidR="00AA5910" w:rsidRPr="00AA5910" w:rsidRDefault="00AA5910" w:rsidP="00AA5910">
      <w:pPr>
        <w:pStyle w:val="BodyText"/>
        <w:rPr>
          <w:sz w:val="22"/>
          <w:szCs w:val="22"/>
        </w:rPr>
      </w:pPr>
    </w:p>
    <w:p w:rsidR="00AA5910" w:rsidRPr="00AA5910" w:rsidRDefault="00AA5910" w:rsidP="00AA5910">
      <w:pPr>
        <w:pStyle w:val="BodyText"/>
        <w:spacing w:before="6"/>
        <w:rPr>
          <w:sz w:val="22"/>
          <w:szCs w:val="22"/>
        </w:rPr>
      </w:pPr>
      <w:r w:rsidRPr="00AA5910">
        <w:rPr>
          <w:noProof/>
          <w:sz w:val="22"/>
          <w:szCs w:val="22"/>
          <w:lang w:val="en-US" w:eastAsia="en-US"/>
        </w:rPr>
        <w:drawing>
          <wp:anchor distT="0" distB="0" distL="0" distR="0" simplePos="0" relativeHeight="251662336" behindDoc="0" locked="0" layoutInCell="1" allowOverlap="1">
            <wp:simplePos x="0" y="0"/>
            <wp:positionH relativeFrom="page">
              <wp:posOffset>1151890</wp:posOffset>
            </wp:positionH>
            <wp:positionV relativeFrom="paragraph">
              <wp:posOffset>237490</wp:posOffset>
            </wp:positionV>
            <wp:extent cx="5394960" cy="3407410"/>
            <wp:effectExtent l="0" t="0" r="0" b="254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94960" cy="340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910" w:rsidRPr="00AA5910" w:rsidRDefault="00AA5910" w:rsidP="00AA5910">
      <w:pPr>
        <w:pStyle w:val="BodyText"/>
        <w:spacing w:before="117"/>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1"/>
          <w:sz w:val="22"/>
          <w:szCs w:val="22"/>
        </w:rPr>
        <w:t xml:space="preserve"> </w:t>
      </w:r>
      <w:r w:rsidRPr="00AA5910">
        <w:rPr>
          <w:sz w:val="22"/>
          <w:szCs w:val="22"/>
        </w:rPr>
        <w:t>Doxorubicin</w:t>
      </w:r>
      <w:r w:rsidRPr="00AA5910">
        <w:rPr>
          <w:spacing w:val="-2"/>
          <w:sz w:val="22"/>
          <w:szCs w:val="22"/>
        </w:rPr>
        <w:t xml:space="preserve"> </w:t>
      </w:r>
      <w:r w:rsidRPr="00AA5910">
        <w:rPr>
          <w:sz w:val="22"/>
          <w:szCs w:val="22"/>
        </w:rPr>
        <w:t>dan</w:t>
      </w:r>
      <w:r w:rsidRPr="00AA5910">
        <w:rPr>
          <w:spacing w:val="-1"/>
          <w:sz w:val="22"/>
          <w:szCs w:val="22"/>
        </w:rPr>
        <w:t xml:space="preserve"> </w:t>
      </w:r>
      <w:r w:rsidRPr="00AA5910">
        <w:rPr>
          <w:sz w:val="22"/>
          <w:szCs w:val="22"/>
        </w:rPr>
        <w:t>FZD-3</w:t>
      </w:r>
    </w:p>
    <w:p w:rsidR="00AA5910" w:rsidRPr="00AA5910" w:rsidRDefault="00AA5910" w:rsidP="00DD6905">
      <w:pPr>
        <w:rPr>
          <w:sz w:val="22"/>
          <w:szCs w:val="22"/>
        </w:rPr>
        <w:sectPr w:rsidR="00AA5910" w:rsidRPr="00AA5910" w:rsidSect="00B41307">
          <w:footerReference w:type="default" r:id="rId55"/>
          <w:pgSz w:w="11910" w:h="16840"/>
          <w:pgMar w:top="1580" w:right="1220" w:bottom="1240" w:left="1600" w:header="0" w:footer="1042" w:gutter="0"/>
          <w:cols w:space="720"/>
        </w:sectPr>
      </w:pPr>
    </w:p>
    <w:p w:rsidR="00AA5910" w:rsidRPr="00AA5910" w:rsidRDefault="00AA5910" w:rsidP="00DD6905">
      <w:pPr>
        <w:pStyle w:val="BodyText"/>
        <w:jc w:val="center"/>
        <w:rPr>
          <w:sz w:val="22"/>
          <w:szCs w:val="22"/>
        </w:rPr>
      </w:pPr>
      <w:r w:rsidRPr="00AA5910">
        <w:rPr>
          <w:noProof/>
          <w:sz w:val="22"/>
          <w:szCs w:val="22"/>
          <w:lang w:val="en-US" w:eastAsia="en-US"/>
        </w:rPr>
        <w:lastRenderedPageBreak/>
        <w:drawing>
          <wp:inline distT="0" distB="0" distL="0" distR="0">
            <wp:extent cx="5387975" cy="3307715"/>
            <wp:effectExtent l="0" t="0" r="3175"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87975" cy="3307715"/>
                    </a:xfrm>
                    <a:prstGeom prst="rect">
                      <a:avLst/>
                    </a:prstGeom>
                    <a:noFill/>
                    <a:ln>
                      <a:noFill/>
                    </a:ln>
                  </pic:spPr>
                </pic:pic>
              </a:graphicData>
            </a:graphic>
          </wp:inline>
        </w:drawing>
      </w:r>
    </w:p>
    <w:p w:rsidR="00AA5910" w:rsidRPr="00AA5910" w:rsidRDefault="00AA5910" w:rsidP="00AA5910">
      <w:pPr>
        <w:pStyle w:val="BodyText"/>
        <w:spacing w:before="141"/>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1"/>
          <w:sz w:val="22"/>
          <w:szCs w:val="22"/>
        </w:rPr>
        <w:t xml:space="preserve"> </w:t>
      </w:r>
      <w:r w:rsidRPr="00AA5910">
        <w:rPr>
          <w:sz w:val="22"/>
          <w:szCs w:val="22"/>
        </w:rPr>
        <w:t>Dimensi</w:t>
      </w:r>
      <w:r w:rsidRPr="00AA5910">
        <w:rPr>
          <w:spacing w:val="-2"/>
          <w:sz w:val="22"/>
          <w:szCs w:val="22"/>
        </w:rPr>
        <w:t xml:space="preserve"> </w:t>
      </w:r>
      <w:r w:rsidRPr="00AA5910">
        <w:rPr>
          <w:sz w:val="22"/>
          <w:szCs w:val="22"/>
        </w:rPr>
        <w:t>Naringenin</w:t>
      </w:r>
      <w:r w:rsidRPr="00AA5910">
        <w:rPr>
          <w:spacing w:val="-1"/>
          <w:sz w:val="22"/>
          <w:szCs w:val="22"/>
        </w:rPr>
        <w:t xml:space="preserve"> </w:t>
      </w:r>
      <w:r w:rsidRPr="00AA5910">
        <w:rPr>
          <w:sz w:val="22"/>
          <w:szCs w:val="22"/>
        </w:rPr>
        <w:t>dan</w:t>
      </w:r>
      <w:r w:rsidRPr="00AA5910">
        <w:rPr>
          <w:spacing w:val="-2"/>
          <w:sz w:val="22"/>
          <w:szCs w:val="22"/>
        </w:rPr>
        <w:t xml:space="preserve"> </w:t>
      </w:r>
      <w:r w:rsidRPr="00AA5910">
        <w:rPr>
          <w:sz w:val="22"/>
          <w:szCs w:val="22"/>
        </w:rPr>
        <w:t>MMP7</w:t>
      </w:r>
    </w:p>
    <w:p w:rsidR="00AA5910" w:rsidRPr="00AA5910" w:rsidRDefault="00AA5910" w:rsidP="00AA5910">
      <w:pPr>
        <w:pStyle w:val="BodyText"/>
        <w:rPr>
          <w:sz w:val="22"/>
          <w:szCs w:val="22"/>
        </w:rPr>
      </w:pPr>
    </w:p>
    <w:p w:rsidR="00AA5910" w:rsidRPr="00AA5910" w:rsidRDefault="00AA5910" w:rsidP="00AA5910">
      <w:pPr>
        <w:pStyle w:val="BodyText"/>
        <w:spacing w:before="3"/>
        <w:rPr>
          <w:sz w:val="22"/>
          <w:szCs w:val="22"/>
        </w:rPr>
      </w:pPr>
      <w:r w:rsidRPr="00AA5910">
        <w:rPr>
          <w:noProof/>
          <w:sz w:val="22"/>
          <w:szCs w:val="22"/>
          <w:lang w:val="en-US" w:eastAsia="en-US"/>
        </w:rPr>
        <w:drawing>
          <wp:anchor distT="0" distB="0" distL="0" distR="0" simplePos="0" relativeHeight="251663360" behindDoc="0" locked="0" layoutInCell="1" allowOverlap="1">
            <wp:simplePos x="0" y="0"/>
            <wp:positionH relativeFrom="page">
              <wp:posOffset>1080135</wp:posOffset>
            </wp:positionH>
            <wp:positionV relativeFrom="paragraph">
              <wp:posOffset>109220</wp:posOffset>
            </wp:positionV>
            <wp:extent cx="5363845" cy="3369310"/>
            <wp:effectExtent l="0" t="0" r="8255" b="254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63845" cy="3369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910" w:rsidRPr="00AA5910" w:rsidRDefault="00AA5910" w:rsidP="00AA5910">
      <w:pPr>
        <w:pStyle w:val="BodyText"/>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2"/>
          <w:sz w:val="22"/>
          <w:szCs w:val="22"/>
        </w:rPr>
        <w:t xml:space="preserve"> </w:t>
      </w:r>
      <w:r w:rsidRPr="00AA5910">
        <w:rPr>
          <w:sz w:val="22"/>
          <w:szCs w:val="22"/>
        </w:rPr>
        <w:t>Doxorubicin</w:t>
      </w:r>
      <w:r w:rsidRPr="00AA5910">
        <w:rPr>
          <w:spacing w:val="-2"/>
          <w:sz w:val="22"/>
          <w:szCs w:val="22"/>
        </w:rPr>
        <w:t xml:space="preserve"> </w:t>
      </w:r>
      <w:r w:rsidRPr="00AA5910">
        <w:rPr>
          <w:sz w:val="22"/>
          <w:szCs w:val="22"/>
        </w:rPr>
        <w:t>dan</w:t>
      </w:r>
      <w:r w:rsidRPr="00AA5910">
        <w:rPr>
          <w:spacing w:val="-2"/>
          <w:sz w:val="22"/>
          <w:szCs w:val="22"/>
        </w:rPr>
        <w:t xml:space="preserve"> </w:t>
      </w:r>
      <w:r w:rsidRPr="00AA5910">
        <w:rPr>
          <w:sz w:val="22"/>
          <w:szCs w:val="22"/>
        </w:rPr>
        <w:t>MMP7</w:t>
      </w:r>
    </w:p>
    <w:p w:rsidR="00AA5910" w:rsidRPr="00AA5910" w:rsidRDefault="00AA5910" w:rsidP="00AA5910">
      <w:pPr>
        <w:jc w:val="center"/>
        <w:rPr>
          <w:sz w:val="22"/>
          <w:szCs w:val="22"/>
        </w:rPr>
        <w:sectPr w:rsidR="00AA5910" w:rsidRPr="00AA5910" w:rsidSect="00B41307">
          <w:footerReference w:type="default" r:id="rId58"/>
          <w:pgSz w:w="11910" w:h="16840"/>
          <w:pgMar w:top="1580" w:right="1220" w:bottom="1240" w:left="1600" w:header="0" w:footer="1042" w:gutter="0"/>
          <w:cols w:space="720"/>
        </w:sectPr>
      </w:pPr>
    </w:p>
    <w:p w:rsidR="00AA5910" w:rsidRPr="00AA5910" w:rsidRDefault="00AA5910" w:rsidP="00AA5910">
      <w:pPr>
        <w:pStyle w:val="BodyText"/>
        <w:spacing w:before="9"/>
        <w:rPr>
          <w:sz w:val="22"/>
          <w:szCs w:val="22"/>
        </w:rPr>
      </w:pPr>
    </w:p>
    <w:p w:rsidR="00AA5910" w:rsidRPr="00AA5910" w:rsidRDefault="00AA5910" w:rsidP="00AA5910">
      <w:pPr>
        <w:pStyle w:val="BodyText"/>
        <w:ind w:left="214"/>
        <w:rPr>
          <w:sz w:val="22"/>
          <w:szCs w:val="22"/>
        </w:rPr>
      </w:pPr>
      <w:r w:rsidRPr="00AA5910">
        <w:rPr>
          <w:noProof/>
          <w:sz w:val="22"/>
          <w:szCs w:val="22"/>
          <w:lang w:val="en-US" w:eastAsia="en-US"/>
        </w:rPr>
        <w:drawing>
          <wp:inline distT="0" distB="0" distL="0" distR="0">
            <wp:extent cx="5396865" cy="33172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96865" cy="3317240"/>
                    </a:xfrm>
                    <a:prstGeom prst="rect">
                      <a:avLst/>
                    </a:prstGeom>
                    <a:noFill/>
                    <a:ln>
                      <a:noFill/>
                    </a:ln>
                  </pic:spPr>
                </pic:pic>
              </a:graphicData>
            </a:graphic>
          </wp:inline>
        </w:drawing>
      </w:r>
    </w:p>
    <w:p w:rsidR="00AA5910" w:rsidRPr="00AA5910" w:rsidRDefault="00AA5910" w:rsidP="00AA5910">
      <w:pPr>
        <w:pStyle w:val="BodyText"/>
        <w:spacing w:before="118"/>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2"/>
          <w:sz w:val="22"/>
          <w:szCs w:val="22"/>
        </w:rPr>
        <w:t xml:space="preserve"> </w:t>
      </w:r>
      <w:r w:rsidRPr="00AA5910">
        <w:rPr>
          <w:sz w:val="22"/>
          <w:szCs w:val="22"/>
        </w:rPr>
        <w:t>Naringenin</w:t>
      </w:r>
      <w:r w:rsidRPr="00AA5910">
        <w:rPr>
          <w:spacing w:val="-1"/>
          <w:sz w:val="22"/>
          <w:szCs w:val="22"/>
        </w:rPr>
        <w:t xml:space="preserve"> </w:t>
      </w:r>
      <w:r w:rsidRPr="00AA5910">
        <w:rPr>
          <w:sz w:val="22"/>
          <w:szCs w:val="22"/>
        </w:rPr>
        <w:t>dan</w:t>
      </w:r>
      <w:r w:rsidRPr="00AA5910">
        <w:rPr>
          <w:spacing w:val="-3"/>
          <w:sz w:val="22"/>
          <w:szCs w:val="22"/>
        </w:rPr>
        <w:t xml:space="preserve"> </w:t>
      </w:r>
      <w:r w:rsidRPr="00AA5910">
        <w:rPr>
          <w:sz w:val="22"/>
          <w:szCs w:val="22"/>
        </w:rPr>
        <w:t>PI3K</w:t>
      </w:r>
    </w:p>
    <w:p w:rsidR="00AA5910" w:rsidRPr="00AA5910" w:rsidRDefault="00AA5910" w:rsidP="00AA5910">
      <w:pPr>
        <w:pStyle w:val="BodyText"/>
        <w:spacing w:before="4"/>
        <w:rPr>
          <w:sz w:val="22"/>
          <w:szCs w:val="22"/>
        </w:rPr>
      </w:pPr>
      <w:bookmarkStart w:id="1" w:name="_GoBack"/>
      <w:r w:rsidRPr="00AA5910">
        <w:rPr>
          <w:noProof/>
          <w:sz w:val="22"/>
          <w:szCs w:val="22"/>
          <w:lang w:val="en-US" w:eastAsia="en-US"/>
        </w:rPr>
        <w:drawing>
          <wp:anchor distT="0" distB="0" distL="0" distR="0" simplePos="0" relativeHeight="251664384" behindDoc="0" locked="0" layoutInCell="1" allowOverlap="1">
            <wp:simplePos x="0" y="0"/>
            <wp:positionH relativeFrom="page">
              <wp:posOffset>1080135</wp:posOffset>
            </wp:positionH>
            <wp:positionV relativeFrom="paragraph">
              <wp:posOffset>168910</wp:posOffset>
            </wp:positionV>
            <wp:extent cx="5635625" cy="3933825"/>
            <wp:effectExtent l="0" t="0" r="3175" b="9525"/>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635625" cy="3933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AA5910" w:rsidRPr="0051620C" w:rsidRDefault="00AA5910" w:rsidP="0051620C">
      <w:pPr>
        <w:pStyle w:val="BodyText"/>
        <w:ind w:left="2161" w:right="2423"/>
        <w:jc w:val="center"/>
        <w:rPr>
          <w:sz w:val="22"/>
          <w:szCs w:val="22"/>
        </w:rPr>
      </w:pPr>
      <w:r w:rsidRPr="00AA5910">
        <w:rPr>
          <w:sz w:val="22"/>
          <w:szCs w:val="22"/>
        </w:rPr>
        <w:t>Interaksi</w:t>
      </w:r>
      <w:r w:rsidRPr="00AA5910">
        <w:rPr>
          <w:spacing w:val="-2"/>
          <w:sz w:val="22"/>
          <w:szCs w:val="22"/>
        </w:rPr>
        <w:t xml:space="preserve"> </w:t>
      </w:r>
      <w:r w:rsidRPr="00AA5910">
        <w:rPr>
          <w:sz w:val="22"/>
          <w:szCs w:val="22"/>
        </w:rPr>
        <w:t>2</w:t>
      </w:r>
      <w:r w:rsidRPr="00AA5910">
        <w:rPr>
          <w:spacing w:val="-2"/>
          <w:sz w:val="22"/>
          <w:szCs w:val="22"/>
        </w:rPr>
        <w:t xml:space="preserve"> </w:t>
      </w:r>
      <w:r w:rsidRPr="00AA5910">
        <w:rPr>
          <w:sz w:val="22"/>
          <w:szCs w:val="22"/>
        </w:rPr>
        <w:t>Dimensi</w:t>
      </w:r>
      <w:r w:rsidRPr="00AA5910">
        <w:rPr>
          <w:spacing w:val="-2"/>
          <w:sz w:val="22"/>
          <w:szCs w:val="22"/>
        </w:rPr>
        <w:t xml:space="preserve"> </w:t>
      </w:r>
      <w:r w:rsidRPr="00AA5910">
        <w:rPr>
          <w:sz w:val="22"/>
          <w:szCs w:val="22"/>
        </w:rPr>
        <w:t>Doxorubicin</w:t>
      </w:r>
      <w:r w:rsidRPr="00AA5910">
        <w:rPr>
          <w:spacing w:val="-2"/>
          <w:sz w:val="22"/>
          <w:szCs w:val="22"/>
        </w:rPr>
        <w:t xml:space="preserve"> </w:t>
      </w:r>
      <w:r w:rsidRPr="00AA5910">
        <w:rPr>
          <w:sz w:val="22"/>
          <w:szCs w:val="22"/>
        </w:rPr>
        <w:t>dan</w:t>
      </w:r>
      <w:r w:rsidRPr="00AA5910">
        <w:rPr>
          <w:spacing w:val="-2"/>
          <w:sz w:val="22"/>
          <w:szCs w:val="22"/>
        </w:rPr>
        <w:t xml:space="preserve"> </w:t>
      </w:r>
      <w:r w:rsidRPr="00AA5910">
        <w:rPr>
          <w:sz w:val="22"/>
          <w:szCs w:val="22"/>
        </w:rPr>
        <w:t>PI3</w:t>
      </w:r>
      <w:r w:rsidR="0051620C">
        <w:rPr>
          <w:sz w:val="22"/>
          <w:szCs w:val="22"/>
          <w:lang w:val="en-US"/>
        </w:rPr>
        <w:t>K</w:t>
      </w:r>
    </w:p>
    <w:sectPr w:rsidR="00AA5910" w:rsidRPr="0051620C" w:rsidSect="00AA5910">
      <w:footerReference w:type="first" r:id="rId61"/>
      <w:pgSz w:w="11907" w:h="16840" w:code="9"/>
      <w:pgMar w:top="1138" w:right="850" w:bottom="1138" w:left="850" w:header="1138" w:footer="113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BC" w:rsidRDefault="00CA17BC" w:rsidP="005F420B">
      <w:r>
        <w:separator/>
      </w:r>
    </w:p>
  </w:endnote>
  <w:endnote w:type="continuationSeparator" w:id="0">
    <w:p w:rsidR="00CA17BC" w:rsidRDefault="00CA17BC"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307" w:rsidRDefault="00B41307" w:rsidP="00037F63">
    <w:pPr>
      <w:pStyle w:val="Footer"/>
      <w:jc w:val="center"/>
      <w:rPr>
        <w:i/>
      </w:rPr>
    </w:pPr>
  </w:p>
  <w:p w:rsidR="00B41307" w:rsidRDefault="00B41307" w:rsidP="00037F63">
    <w:pPr>
      <w:pStyle w:val="Footer"/>
      <w:jc w:val="center"/>
      <w:rPr>
        <w:i/>
      </w:rPr>
    </w:pPr>
    <w:r>
      <w:rPr>
        <w:i/>
      </w:rPr>
      <w:t>Sinergi Perguruan Tinggi dan Masyarakat untuk Mendukung Pencapaian Empat Pilar</w:t>
    </w:r>
  </w:p>
  <w:p w:rsidR="00B41307" w:rsidRDefault="00B41307" w:rsidP="00037F63">
    <w:pPr>
      <w:pStyle w:val="Footer"/>
      <w:jc w:val="center"/>
      <w:rPr>
        <w:i/>
      </w:rPr>
    </w:pPr>
    <w:r>
      <w:rPr>
        <w:i/>
      </w:rPr>
      <w:t>Pembangunan Menuju Visi Indonesia Emas 2045</w:t>
    </w:r>
  </w:p>
  <w:p w:rsidR="00B41307" w:rsidRPr="00C222BC" w:rsidRDefault="00B41307" w:rsidP="00037F63">
    <w:pPr>
      <w:pStyle w:val="Footer"/>
      <w:jc w:val="center"/>
    </w:pPr>
    <w:r>
      <w:t>6</w:t>
    </w:r>
  </w:p>
  <w:p w:rsidR="00B41307" w:rsidRPr="0062517A" w:rsidRDefault="00B41307" w:rsidP="00037F63">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056553"/>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22</w:t>
        </w:r>
      </w:p>
    </w:sdtContent>
  </w:sdt>
  <w:p w:rsidR="0051620C" w:rsidRDefault="0051620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558272"/>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23</w:t>
        </w:r>
      </w:p>
    </w:sdtContent>
  </w:sdt>
  <w:p w:rsidR="0051620C" w:rsidRDefault="0051620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627233"/>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24</w:t>
        </w:r>
      </w:p>
    </w:sdtContent>
  </w:sdt>
  <w:p w:rsidR="0051620C" w:rsidRDefault="0051620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307640"/>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25</w:t>
        </w:r>
      </w:p>
    </w:sdtContent>
  </w:sdt>
  <w:p w:rsidR="0051620C" w:rsidRDefault="0051620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18436"/>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26</w:t>
        </w:r>
      </w:p>
    </w:sdtContent>
  </w:sdt>
  <w:p w:rsidR="0051620C" w:rsidRDefault="0051620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068345"/>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27</w:t>
        </w:r>
      </w:p>
    </w:sdtContent>
  </w:sdt>
  <w:p w:rsidR="0051620C" w:rsidRDefault="0051620C">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921154"/>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28</w:t>
        </w:r>
      </w:p>
    </w:sdtContent>
  </w:sdt>
  <w:p w:rsidR="0051620C" w:rsidRDefault="0051620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200445"/>
      <w:docPartObj>
        <w:docPartGallery w:val="Page Numbers (Bottom of Page)"/>
        <w:docPartUnique/>
      </w:docPartObj>
    </w:sdtPr>
    <w:sdtEndPr>
      <w:rPr>
        <w:noProof/>
      </w:rPr>
    </w:sdtEndPr>
    <w:sdtContent>
      <w:p w:rsidR="00DD6905" w:rsidRDefault="00DD6905" w:rsidP="00400AD9">
        <w:pPr>
          <w:pStyle w:val="Footer"/>
          <w:jc w:val="center"/>
        </w:pPr>
      </w:p>
      <w:p w:rsidR="00DD6905" w:rsidRDefault="00DD6905" w:rsidP="00400AD9">
        <w:pPr>
          <w:pStyle w:val="Footer"/>
          <w:jc w:val="center"/>
          <w:rPr>
            <w:i/>
          </w:rPr>
        </w:pPr>
        <w:r>
          <w:rPr>
            <w:i/>
          </w:rPr>
          <w:t>Membangun Masyarakat Berkelanjutan Melalui Penerapan Teknologi di Era Society 5.0</w:t>
        </w:r>
      </w:p>
      <w:p w:rsidR="00DD6905" w:rsidRPr="00C222BC" w:rsidRDefault="00DD6905" w:rsidP="00400AD9">
        <w:pPr>
          <w:pStyle w:val="Footer"/>
          <w:jc w:val="center"/>
        </w:pPr>
        <w:r>
          <w:t>129</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535602"/>
      <w:docPartObj>
        <w:docPartGallery w:val="Page Numbers (Bottom of Page)"/>
        <w:docPartUnique/>
      </w:docPartObj>
    </w:sdtPr>
    <w:sdtEndPr>
      <w:rPr>
        <w:noProof/>
      </w:rPr>
    </w:sdtEndPr>
    <w:sdtContent>
      <w:p w:rsidR="00DD6905" w:rsidRDefault="00DD6905" w:rsidP="00400AD9">
        <w:pPr>
          <w:pStyle w:val="Footer"/>
          <w:jc w:val="center"/>
        </w:pPr>
      </w:p>
      <w:p w:rsidR="00DD6905" w:rsidRDefault="00DD6905" w:rsidP="00400AD9">
        <w:pPr>
          <w:pStyle w:val="Footer"/>
          <w:jc w:val="center"/>
          <w:rPr>
            <w:i/>
          </w:rPr>
        </w:pPr>
        <w:r>
          <w:rPr>
            <w:i/>
          </w:rPr>
          <w:t>Membangun Masyarakat Berkelanjutan Melalui Penerapan Teknologi di Era Society 5.0</w:t>
        </w:r>
      </w:p>
      <w:p w:rsidR="00DD6905" w:rsidRPr="00C222BC" w:rsidRDefault="00DD6905" w:rsidP="00400AD9">
        <w:pPr>
          <w:pStyle w:val="Footer"/>
          <w:jc w:val="center"/>
        </w:pPr>
        <w:r>
          <w:t>130</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845256"/>
      <w:docPartObj>
        <w:docPartGallery w:val="Page Numbers (Bottom of Page)"/>
        <w:docPartUnique/>
      </w:docPartObj>
    </w:sdtPr>
    <w:sdtEndPr>
      <w:rPr>
        <w:noProof/>
      </w:rPr>
    </w:sdtEndPr>
    <w:sdtContent>
      <w:p w:rsidR="00DD6905" w:rsidRDefault="00DD6905" w:rsidP="00400AD9">
        <w:pPr>
          <w:pStyle w:val="Footer"/>
          <w:jc w:val="center"/>
        </w:pPr>
      </w:p>
      <w:p w:rsidR="00DD6905" w:rsidRDefault="00DD6905" w:rsidP="00400AD9">
        <w:pPr>
          <w:pStyle w:val="Footer"/>
          <w:jc w:val="center"/>
          <w:rPr>
            <w:i/>
          </w:rPr>
        </w:pPr>
        <w:r>
          <w:rPr>
            <w:i/>
          </w:rPr>
          <w:t>Membangun Masyarakat Berkelanjutan Melalui Penerapan Teknologi di Era Society 5.0</w:t>
        </w:r>
      </w:p>
      <w:p w:rsidR="00DD6905" w:rsidRPr="00C222BC" w:rsidRDefault="00DD6905" w:rsidP="00400AD9">
        <w:pPr>
          <w:pStyle w:val="Footer"/>
          <w:jc w:val="center"/>
        </w:pPr>
        <w:r>
          <w:t>131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B41307" w:rsidRDefault="00B41307" w:rsidP="005F420B">
        <w:pPr>
          <w:pStyle w:val="Footer"/>
          <w:jc w:val="center"/>
        </w:pPr>
      </w:p>
      <w:p w:rsidR="00B41307" w:rsidRDefault="00B41307" w:rsidP="00400AD9">
        <w:pPr>
          <w:pStyle w:val="Footer"/>
          <w:jc w:val="center"/>
        </w:pPr>
      </w:p>
      <w:p w:rsidR="00B41307" w:rsidRDefault="00B41307" w:rsidP="00400AD9">
        <w:pPr>
          <w:pStyle w:val="Footer"/>
          <w:jc w:val="center"/>
          <w:rPr>
            <w:i/>
          </w:rPr>
        </w:pPr>
        <w:r>
          <w:rPr>
            <w:i/>
          </w:rPr>
          <w:t>Membangun Masyarakat Berkelanjutan Melalui Penerapan Teknologi di Era Society 5.0</w:t>
        </w:r>
      </w:p>
      <w:p w:rsidR="00B41307" w:rsidRPr="00C222BC" w:rsidRDefault="00B41307" w:rsidP="00400AD9">
        <w:pPr>
          <w:pStyle w:val="Footer"/>
          <w:jc w:val="center"/>
        </w:pPr>
        <w:r>
          <w:fldChar w:fldCharType="begin"/>
        </w:r>
        <w:r>
          <w:instrText xml:space="preserve"> PAGE   \* MERGEFORMAT </w:instrText>
        </w:r>
        <w:r>
          <w:fldChar w:fldCharType="separate"/>
        </w:r>
        <w:r w:rsidR="0051620C">
          <w:rPr>
            <w:noProof/>
          </w:rPr>
          <w:t>2</w:t>
        </w:r>
        <w:r>
          <w:rPr>
            <w:noProof/>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539111"/>
      <w:docPartObj>
        <w:docPartGallery w:val="Page Numbers (Bottom of Page)"/>
        <w:docPartUnique/>
      </w:docPartObj>
    </w:sdtPr>
    <w:sdtEndPr>
      <w:rPr>
        <w:noProof/>
      </w:rPr>
    </w:sdtEndPr>
    <w:sdtContent>
      <w:p w:rsidR="00DD6905" w:rsidRDefault="00DD6905" w:rsidP="00400AD9">
        <w:pPr>
          <w:pStyle w:val="Footer"/>
          <w:jc w:val="center"/>
        </w:pPr>
      </w:p>
      <w:p w:rsidR="00DD6905" w:rsidRDefault="00DD6905" w:rsidP="00400AD9">
        <w:pPr>
          <w:pStyle w:val="Footer"/>
          <w:jc w:val="center"/>
          <w:rPr>
            <w:i/>
          </w:rPr>
        </w:pPr>
        <w:r>
          <w:rPr>
            <w:i/>
          </w:rPr>
          <w:t>Membangun Masyarakat Berkelanjutan Melalui Penerapan Teknologi di Era Society 5.0</w:t>
        </w:r>
      </w:p>
      <w:p w:rsidR="00DD6905" w:rsidRPr="00C222BC" w:rsidRDefault="00DD6905" w:rsidP="00400AD9">
        <w:pPr>
          <w:pStyle w:val="Footer"/>
          <w:jc w:val="center"/>
        </w:pPr>
        <w:r>
          <w:t>132</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254228"/>
      <w:docPartObj>
        <w:docPartGallery w:val="Page Numbers (Bottom of Page)"/>
        <w:docPartUnique/>
      </w:docPartObj>
    </w:sdtPr>
    <w:sdtEndPr>
      <w:rPr>
        <w:noProof/>
      </w:rPr>
    </w:sdtEndPr>
    <w:sdtContent>
      <w:p w:rsidR="00DD6905" w:rsidRDefault="00DD6905" w:rsidP="00400AD9">
        <w:pPr>
          <w:pStyle w:val="Footer"/>
          <w:jc w:val="center"/>
        </w:pPr>
      </w:p>
      <w:p w:rsidR="00DD6905" w:rsidRDefault="00DD6905" w:rsidP="00400AD9">
        <w:pPr>
          <w:pStyle w:val="Footer"/>
          <w:jc w:val="center"/>
          <w:rPr>
            <w:i/>
          </w:rPr>
        </w:pPr>
        <w:r>
          <w:rPr>
            <w:i/>
          </w:rPr>
          <w:t>Membangun Masyarakat Berkelanjutan Melalui Penerapan Teknologi di Era Society 5.0</w:t>
        </w:r>
      </w:p>
      <w:p w:rsidR="00DD6905" w:rsidRPr="00C222BC" w:rsidRDefault="00DD6905" w:rsidP="00400AD9">
        <w:pPr>
          <w:pStyle w:val="Footer"/>
          <w:jc w:val="center"/>
        </w:pPr>
        <w:r>
          <w:t>133</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016562"/>
      <w:docPartObj>
        <w:docPartGallery w:val="Page Numbers (Bottom of Page)"/>
        <w:docPartUnique/>
      </w:docPartObj>
    </w:sdtPr>
    <w:sdtEndPr>
      <w:rPr>
        <w:noProof/>
      </w:rPr>
    </w:sdtEndPr>
    <w:sdtContent>
      <w:p w:rsidR="00DD6905" w:rsidRDefault="00DD6905" w:rsidP="00400AD9">
        <w:pPr>
          <w:pStyle w:val="Footer"/>
          <w:jc w:val="center"/>
        </w:pPr>
      </w:p>
      <w:p w:rsidR="00DD6905" w:rsidRDefault="00DD6905" w:rsidP="00400AD9">
        <w:pPr>
          <w:pStyle w:val="Footer"/>
          <w:jc w:val="center"/>
          <w:rPr>
            <w:i/>
          </w:rPr>
        </w:pPr>
        <w:r>
          <w:rPr>
            <w:i/>
          </w:rPr>
          <w:t>Membangun Masyarakat Berkelanjutan Melalui Penerapan Teknologi di Era Society 5.0</w:t>
        </w:r>
      </w:p>
      <w:p w:rsidR="00DD6905" w:rsidRPr="00C222BC" w:rsidRDefault="00DD6905" w:rsidP="00400AD9">
        <w:pPr>
          <w:pStyle w:val="Footer"/>
          <w:jc w:val="center"/>
        </w:pPr>
        <w:r>
          <w:t>134</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10261"/>
      <w:docPartObj>
        <w:docPartGallery w:val="Page Numbers (Bottom of Page)"/>
        <w:docPartUnique/>
      </w:docPartObj>
    </w:sdtPr>
    <w:sdtEndPr>
      <w:rPr>
        <w:noProof/>
      </w:rPr>
    </w:sdtEndPr>
    <w:sdtContent>
      <w:p w:rsidR="00DD6905" w:rsidRDefault="00DD6905">
        <w:pPr>
          <w:pStyle w:val="Footer"/>
          <w:jc w:val="center"/>
        </w:pPr>
      </w:p>
      <w:p w:rsidR="00DD6905" w:rsidRPr="005F420B" w:rsidRDefault="00DD6905">
        <w:pPr>
          <w:pStyle w:val="Footer"/>
          <w:jc w:val="center"/>
          <w:rPr>
            <w:i/>
          </w:rPr>
        </w:pPr>
        <w:r>
          <w:rPr>
            <w:i/>
          </w:rPr>
          <w:t>Membangun Masyarakat Berkelanjutan Melalui Penerapan Teknologi di Era Society 5.0</w:t>
        </w:r>
      </w:p>
      <w:p w:rsidR="00DD6905" w:rsidRDefault="00DD6905">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35</w:t>
        </w:r>
      </w:p>
    </w:sdtContent>
  </w:sdt>
  <w:p w:rsidR="00DD6905" w:rsidRDefault="00DD6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B41307" w:rsidRDefault="00B41307">
        <w:pPr>
          <w:pStyle w:val="Footer"/>
          <w:jc w:val="center"/>
        </w:pPr>
      </w:p>
      <w:p w:rsidR="00B41307" w:rsidRPr="005F420B" w:rsidRDefault="00B41307">
        <w:pPr>
          <w:pStyle w:val="Footer"/>
          <w:jc w:val="center"/>
          <w:rPr>
            <w:i/>
          </w:rPr>
        </w:pPr>
        <w:r>
          <w:rPr>
            <w:i/>
          </w:rPr>
          <w:t>Membangun Masyarakat Berkelanjutan Melalui Penerapan Teknologi di Era Society 5.0</w:t>
        </w:r>
      </w:p>
      <w:p w:rsidR="00B41307" w:rsidRDefault="00B41307">
        <w:pPr>
          <w:pStyle w:val="Footer"/>
          <w:jc w:val="center"/>
        </w:pPr>
        <w:r>
          <w:fldChar w:fldCharType="begin"/>
        </w:r>
        <w:r>
          <w:instrText xml:space="preserve"> PAGE   \* MERGEFORMAT </w:instrText>
        </w:r>
        <w:r>
          <w:fldChar w:fldCharType="separate"/>
        </w:r>
        <w:r w:rsidR="002F1232">
          <w:rPr>
            <w:noProof/>
          </w:rPr>
          <w:t>1</w:t>
        </w:r>
        <w:r>
          <w:rPr>
            <w:noProof/>
          </w:rPr>
          <w:fldChar w:fldCharType="end"/>
        </w:r>
        <w:r w:rsidR="0051620C">
          <w:rPr>
            <w:noProof/>
          </w:rPr>
          <w:t>16</w:t>
        </w:r>
      </w:p>
    </w:sdtContent>
  </w:sdt>
  <w:p w:rsidR="00B41307" w:rsidRDefault="00B413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899123"/>
      <w:docPartObj>
        <w:docPartGallery w:val="Page Numbers (Bottom of Page)"/>
        <w:docPartUnique/>
      </w:docPartObj>
    </w:sdtPr>
    <w:sdtEndPr>
      <w:rPr>
        <w:noProof/>
      </w:rPr>
    </w:sdtEndPr>
    <w:sdtContent>
      <w:p w:rsidR="0051620C" w:rsidRDefault="0051620C" w:rsidP="00400AD9">
        <w:pPr>
          <w:pStyle w:val="Footer"/>
          <w:jc w:val="center"/>
        </w:pPr>
      </w:p>
      <w:p w:rsidR="0051620C" w:rsidRDefault="0051620C" w:rsidP="00400AD9">
        <w:pPr>
          <w:pStyle w:val="Footer"/>
          <w:jc w:val="center"/>
          <w:rPr>
            <w:i/>
          </w:rPr>
        </w:pPr>
        <w:r>
          <w:rPr>
            <w:i/>
          </w:rPr>
          <w:t>Membangun Masyarakat Berkelanjutan Melalui Penerapan Teknologi di Era Society 5.0</w:t>
        </w:r>
      </w:p>
      <w:p w:rsidR="0051620C" w:rsidRPr="00C222BC" w:rsidRDefault="0051620C" w:rsidP="00400AD9">
        <w:pPr>
          <w:pStyle w:val="Footer"/>
          <w:jc w:val="center"/>
        </w:pPr>
        <w:r>
          <w:t>117</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2751"/>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17</w:t>
        </w:r>
      </w:p>
    </w:sdtContent>
  </w:sdt>
  <w:p w:rsidR="0051620C" w:rsidRDefault="0051620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221046"/>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18</w:t>
        </w:r>
      </w:p>
    </w:sdtContent>
  </w:sdt>
  <w:p w:rsidR="0051620C" w:rsidRDefault="0051620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639615"/>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19</w:t>
        </w:r>
      </w:p>
    </w:sdtContent>
  </w:sdt>
  <w:p w:rsidR="0051620C" w:rsidRDefault="0051620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036871"/>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20</w:t>
        </w:r>
      </w:p>
    </w:sdtContent>
  </w:sdt>
  <w:p w:rsidR="0051620C" w:rsidRDefault="0051620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994458"/>
      <w:docPartObj>
        <w:docPartGallery w:val="Page Numbers (Bottom of Page)"/>
        <w:docPartUnique/>
      </w:docPartObj>
    </w:sdtPr>
    <w:sdtEndPr>
      <w:rPr>
        <w:noProof/>
      </w:rPr>
    </w:sdtEndPr>
    <w:sdtContent>
      <w:p w:rsidR="0051620C" w:rsidRDefault="0051620C">
        <w:pPr>
          <w:pStyle w:val="Footer"/>
          <w:jc w:val="center"/>
        </w:pPr>
      </w:p>
      <w:p w:rsidR="0051620C" w:rsidRPr="005F420B" w:rsidRDefault="0051620C">
        <w:pPr>
          <w:pStyle w:val="Footer"/>
          <w:jc w:val="center"/>
          <w:rPr>
            <w:i/>
          </w:rPr>
        </w:pPr>
        <w:r>
          <w:rPr>
            <w:i/>
          </w:rPr>
          <w:t>Membangun Masyarakat Berkelanjutan Melalui Penerapan Teknologi di Era Society 5.0</w:t>
        </w:r>
      </w:p>
      <w:p w:rsidR="0051620C" w:rsidRDefault="0051620C">
        <w:pPr>
          <w:pStyle w:val="Footer"/>
          <w:jc w:val="center"/>
        </w:pPr>
        <w:r>
          <w:fldChar w:fldCharType="begin"/>
        </w:r>
        <w:r>
          <w:instrText xml:space="preserve"> PAGE   \* MERGEFORMAT </w:instrText>
        </w:r>
        <w:r>
          <w:fldChar w:fldCharType="separate"/>
        </w:r>
        <w:r w:rsidR="002F1232">
          <w:rPr>
            <w:noProof/>
          </w:rPr>
          <w:t>1</w:t>
        </w:r>
        <w:r>
          <w:rPr>
            <w:noProof/>
          </w:rPr>
          <w:fldChar w:fldCharType="end"/>
        </w:r>
        <w:r>
          <w:rPr>
            <w:noProof/>
          </w:rPr>
          <w:t>21</w:t>
        </w:r>
      </w:p>
    </w:sdtContent>
  </w:sdt>
  <w:p w:rsidR="0051620C" w:rsidRDefault="00516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BC" w:rsidRDefault="00CA17BC" w:rsidP="005F420B">
      <w:r>
        <w:separator/>
      </w:r>
    </w:p>
  </w:footnote>
  <w:footnote w:type="continuationSeparator" w:id="0">
    <w:p w:rsidR="00CA17BC" w:rsidRDefault="00CA17BC"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307" w:rsidRDefault="00BF4FAF">
    <w:pPr>
      <w:pStyle w:val="Header"/>
    </w:pPr>
    <w:r w:rsidRPr="00A86EF5">
      <w:rPr>
        <w:noProof/>
      </w:rPr>
      <w:drawing>
        <wp:anchor distT="19050" distB="19050" distL="19050" distR="19050" simplePos="0" relativeHeight="251663872" behindDoc="0" locked="0" layoutInCell="1" hidden="0" allowOverlap="1" wp14:anchorId="54187533" wp14:editId="495513BF">
          <wp:simplePos x="0" y="0"/>
          <wp:positionH relativeFrom="margin">
            <wp:posOffset>3871426</wp:posOffset>
          </wp:positionH>
          <wp:positionV relativeFrom="paragraph">
            <wp:posOffset>-551953</wp:posOffset>
          </wp:positionV>
          <wp:extent cx="1459865" cy="746760"/>
          <wp:effectExtent l="0" t="0" r="6985" b="0"/>
          <wp:wrapNone/>
          <wp:docPr id="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824" behindDoc="1" locked="0" layoutInCell="1" allowOverlap="1" wp14:anchorId="4D527413" wp14:editId="6F3BED4B">
              <wp:simplePos x="0" y="0"/>
              <wp:positionH relativeFrom="margin">
                <wp:align>left</wp:align>
              </wp:positionH>
              <wp:positionV relativeFrom="topMargin">
                <wp:align>bottom</wp:align>
              </wp:positionV>
              <wp:extent cx="4678680" cy="741882"/>
              <wp:effectExtent l="0" t="0" r="762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AF" w:rsidRDefault="00BF4FAF" w:rsidP="00BF4FAF">
                          <w:pPr>
                            <w:ind w:left="20"/>
                            <w:rPr>
                              <w:b/>
                              <w:i/>
                            </w:rPr>
                          </w:pPr>
                          <w:r>
                            <w:rPr>
                              <w:b/>
                              <w:i/>
                            </w:rPr>
                            <w:t>Proceedings of Life and Applied Sciences</w:t>
                          </w:r>
                        </w:p>
                        <w:p w:rsidR="00BF4FAF" w:rsidRDefault="00BF4FAF" w:rsidP="00BF4FAF">
                          <w:pPr>
                            <w:ind w:left="20"/>
                            <w:rPr>
                              <w:b/>
                              <w:i/>
                            </w:rPr>
                          </w:pPr>
                          <w:r>
                            <w:rPr>
                              <w:b/>
                              <w:i/>
                            </w:rPr>
                            <w:t>Seminar Bioteknologi Nasional (SimBioN) 2024</w:t>
                          </w:r>
                        </w:p>
                        <w:p w:rsidR="00BF4FAF" w:rsidRPr="00284D41" w:rsidRDefault="00BF4FAF" w:rsidP="00BF4FAF">
                          <w:pPr>
                            <w:ind w:left="20"/>
                            <w:rPr>
                              <w:b/>
                              <w:i/>
                            </w:rPr>
                          </w:pPr>
                          <w:r>
                            <w:rPr>
                              <w:b/>
                              <w:i/>
                            </w:rPr>
                            <w:t>Malang, 12 Oktober 2024</w:t>
                          </w:r>
                        </w:p>
                        <w:p w:rsidR="00BF4FAF" w:rsidRPr="00284D41" w:rsidRDefault="00BF4FAF" w:rsidP="00BF4FAF">
                          <w:pPr>
                            <w:rPr>
                              <w:b/>
                              <w:i/>
                            </w:rPr>
                          </w:pPr>
                          <w:r w:rsidRPr="00284D41">
                            <w:rPr>
                              <w:b/>
                              <w:i/>
                              <w:spacing w:val="-2"/>
                            </w:rPr>
                            <w:t>ISSN:</w:t>
                          </w:r>
                          <w:r w:rsidRPr="00284D41">
                            <w:rPr>
                              <w:b/>
                              <w:i/>
                              <w:spacing w:val="3"/>
                            </w:rPr>
                            <w:t xml:space="preserve"> </w:t>
                          </w:r>
                          <w:r>
                            <w:rPr>
                              <w:b/>
                              <w:i/>
                              <w:spacing w:val="-2"/>
                            </w:rPr>
                            <w:t>2964-772X</w:t>
                          </w:r>
                        </w:p>
                        <w:p w:rsidR="00BF4FAF" w:rsidRPr="00284D41" w:rsidRDefault="00BF4FAF" w:rsidP="00BF4FAF">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7413" id="_x0000_t202" coordsize="21600,21600" o:spt="202" path="m,l,21600r21600,l21600,xe">
              <v:stroke joinstyle="miter"/>
              <v:path gradientshapeok="t" o:connecttype="rect"/>
            </v:shapetype>
            <v:shape id="Text Box 4" o:spid="_x0000_s1026" type="#_x0000_t202" style="position:absolute;margin-left:0;margin-top:0;width:368.4pt;height:58.4pt;z-index:-25165465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" filled="f" stroked="f">
              <v:textbox inset="0,0,0,0">
                <w:txbxContent>
                  <w:p w:rsidR="00BF4FAF" w:rsidRDefault="00BF4FAF" w:rsidP="00BF4FAF">
                    <w:pPr>
                      <w:ind w:left="20"/>
                      <w:rPr>
                        <w:b/>
                        <w:i/>
                      </w:rPr>
                    </w:pPr>
                    <w:r>
                      <w:rPr>
                        <w:b/>
                        <w:i/>
                      </w:rPr>
                      <w:t>Proceedings of Life and Applied Sciences</w:t>
                    </w:r>
                  </w:p>
                  <w:p w:rsidR="00BF4FAF" w:rsidRDefault="00BF4FAF" w:rsidP="00BF4FAF">
                    <w:pPr>
                      <w:ind w:left="20"/>
                      <w:rPr>
                        <w:b/>
                        <w:i/>
                      </w:rPr>
                    </w:pPr>
                    <w:r>
                      <w:rPr>
                        <w:b/>
                        <w:i/>
                      </w:rPr>
                      <w:t>Seminar Bioteknologi Nasional (SimBioN) 2024</w:t>
                    </w:r>
                  </w:p>
                  <w:p w:rsidR="00BF4FAF" w:rsidRPr="00284D41" w:rsidRDefault="00BF4FAF" w:rsidP="00BF4FAF">
                    <w:pPr>
                      <w:ind w:left="20"/>
                      <w:rPr>
                        <w:b/>
                        <w:i/>
                      </w:rPr>
                    </w:pPr>
                    <w:r>
                      <w:rPr>
                        <w:b/>
                        <w:i/>
                      </w:rPr>
                      <w:t>Malang, 12 Oktober 2024</w:t>
                    </w:r>
                  </w:p>
                  <w:p w:rsidR="00BF4FAF" w:rsidRPr="00284D41" w:rsidRDefault="00BF4FAF" w:rsidP="00BF4FAF">
                    <w:pPr>
                      <w:rPr>
                        <w:b/>
                        <w:i/>
                      </w:rPr>
                    </w:pPr>
                    <w:r w:rsidRPr="00284D41">
                      <w:rPr>
                        <w:b/>
                        <w:i/>
                        <w:spacing w:val="-2"/>
                      </w:rPr>
                      <w:t>ISSN:</w:t>
                    </w:r>
                    <w:r w:rsidRPr="00284D41">
                      <w:rPr>
                        <w:b/>
                        <w:i/>
                        <w:spacing w:val="3"/>
                      </w:rPr>
                      <w:t xml:space="preserve"> </w:t>
                    </w:r>
                    <w:r>
                      <w:rPr>
                        <w:b/>
                        <w:i/>
                        <w:spacing w:val="-2"/>
                      </w:rPr>
                      <w:t>2964-772X</w:t>
                    </w:r>
                  </w:p>
                  <w:p w:rsidR="00BF4FAF" w:rsidRPr="00284D41" w:rsidRDefault="00BF4FAF" w:rsidP="00BF4FAF">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txbxContent>
              </v:textbox>
              <w10:wrap anchorx="margin" anchory="margin"/>
            </v:shape>
          </w:pict>
        </mc:Fallback>
      </mc:AlternateContent>
    </w:r>
    <w:r w:rsidR="00B41307">
      <w:rPr>
        <w:noProof/>
      </w:rPr>
      <w:drawing>
        <wp:anchor distT="0" distB="0" distL="0" distR="0" simplePos="0" relativeHeight="251655680"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307" w:rsidRDefault="00B41307">
    <w:pPr>
      <w:pStyle w:val="Header"/>
    </w:pPr>
    <w:r w:rsidRPr="000546F0">
      <w:rPr>
        <w:noProof/>
      </w:rPr>
      <w:drawing>
        <wp:anchor distT="0" distB="0" distL="0" distR="0" simplePos="0" relativeHeight="251657728"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58752"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59776"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307" w:rsidRPr="00284D41" w:rsidRDefault="00B41307"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B41307" w:rsidRPr="00284D41" w:rsidRDefault="00B41307"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B41307" w:rsidRPr="00284D41" w:rsidRDefault="00B41307"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B41307" w:rsidRPr="00284D41" w:rsidRDefault="00B41307"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B41307" w:rsidRPr="00284D41" w:rsidRDefault="00B41307"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B41307" w:rsidRPr="00284D41" w:rsidRDefault="00B41307"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F" w:rsidRDefault="00BF4FAF">
    <w:pPr>
      <w:pStyle w:val="Header"/>
    </w:pPr>
    <w:r w:rsidRPr="00A86EF5">
      <w:rPr>
        <w:noProof/>
      </w:rPr>
      <w:drawing>
        <wp:anchor distT="19050" distB="19050" distL="19050" distR="19050" simplePos="0" relativeHeight="251667968" behindDoc="0" locked="0" layoutInCell="1" hidden="0" allowOverlap="1" wp14:anchorId="6A968D77" wp14:editId="2CBDFDBA">
          <wp:simplePos x="0" y="0"/>
          <wp:positionH relativeFrom="margin">
            <wp:posOffset>4260052</wp:posOffset>
          </wp:positionH>
          <wp:positionV relativeFrom="paragraph">
            <wp:posOffset>-605155</wp:posOffset>
          </wp:positionV>
          <wp:extent cx="1459865" cy="746760"/>
          <wp:effectExtent l="0" t="0" r="6985" b="0"/>
          <wp:wrapNone/>
          <wp:docPr id="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944" behindDoc="1" locked="0" layoutInCell="1" allowOverlap="1" wp14:anchorId="0FBB86D7" wp14:editId="28309769">
              <wp:simplePos x="0" y="0"/>
              <wp:positionH relativeFrom="margin">
                <wp:align>left</wp:align>
              </wp:positionH>
              <wp:positionV relativeFrom="topMargin">
                <wp:align>bottom</wp:align>
              </wp:positionV>
              <wp:extent cx="4678680" cy="741882"/>
              <wp:effectExtent l="0" t="0" r="762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AF" w:rsidRDefault="00BF4FAF" w:rsidP="00BF4FAF">
                          <w:pPr>
                            <w:ind w:left="20"/>
                            <w:rPr>
                              <w:b/>
                              <w:i/>
                            </w:rPr>
                          </w:pPr>
                          <w:r>
                            <w:rPr>
                              <w:b/>
                              <w:i/>
                            </w:rPr>
                            <w:t>Proceedings of Life and Applied Sciences</w:t>
                          </w:r>
                        </w:p>
                        <w:p w:rsidR="00BF4FAF" w:rsidRDefault="00BF4FAF" w:rsidP="00BF4FAF">
                          <w:pPr>
                            <w:ind w:left="20"/>
                            <w:rPr>
                              <w:b/>
                              <w:i/>
                            </w:rPr>
                          </w:pPr>
                          <w:r>
                            <w:rPr>
                              <w:b/>
                              <w:i/>
                            </w:rPr>
                            <w:t>Seminar Bioteknologi Nasional (SimBioN) 2024</w:t>
                          </w:r>
                        </w:p>
                        <w:p w:rsidR="00BF4FAF" w:rsidRPr="00284D41" w:rsidRDefault="00BF4FAF" w:rsidP="00BF4FAF">
                          <w:pPr>
                            <w:ind w:left="20"/>
                            <w:rPr>
                              <w:b/>
                              <w:i/>
                            </w:rPr>
                          </w:pPr>
                          <w:r>
                            <w:rPr>
                              <w:b/>
                              <w:i/>
                            </w:rPr>
                            <w:t>Malang, 12 Oktober 2024</w:t>
                          </w:r>
                        </w:p>
                        <w:p w:rsidR="00BF4FAF" w:rsidRPr="00284D41" w:rsidRDefault="00BF4FAF" w:rsidP="00BF4FAF">
                          <w:pPr>
                            <w:rPr>
                              <w:b/>
                              <w:i/>
                            </w:rPr>
                          </w:pPr>
                          <w:r w:rsidRPr="00284D41">
                            <w:rPr>
                              <w:b/>
                              <w:i/>
                              <w:spacing w:val="-2"/>
                            </w:rPr>
                            <w:t>ISSN:</w:t>
                          </w:r>
                          <w:r w:rsidRPr="00284D41">
                            <w:rPr>
                              <w:b/>
                              <w:i/>
                              <w:spacing w:val="3"/>
                            </w:rPr>
                            <w:t xml:space="preserve"> </w:t>
                          </w:r>
                          <w:r>
                            <w:rPr>
                              <w:b/>
                              <w:i/>
                              <w:spacing w:val="-2"/>
                            </w:rPr>
                            <w:t>2964-772X</w:t>
                          </w:r>
                        </w:p>
                        <w:p w:rsidR="00BF4FAF" w:rsidRPr="00284D41" w:rsidRDefault="00BF4FAF" w:rsidP="00BF4FAF">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B86D7" id="_x0000_t202" coordsize="21600,21600" o:spt="202" path="m,l,21600r21600,l21600,xe">
              <v:stroke joinstyle="miter"/>
              <v:path gradientshapeok="t" o:connecttype="rect"/>
            </v:shapetype>
            <v:shape id="Text Box 1" o:spid="_x0000_s1028" type="#_x0000_t202" style="position:absolute;margin-left:0;margin-top:0;width:368.4pt;height:58.4pt;z-index:-25164953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KnrQIAALA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" filled="f" stroked="f">
              <v:textbox inset="0,0,0,0">
                <w:txbxContent>
                  <w:p w:rsidR="00BF4FAF" w:rsidRDefault="00BF4FAF" w:rsidP="00BF4FAF">
                    <w:pPr>
                      <w:ind w:left="20"/>
                      <w:rPr>
                        <w:b/>
                        <w:i/>
                      </w:rPr>
                    </w:pPr>
                    <w:r>
                      <w:rPr>
                        <w:b/>
                        <w:i/>
                      </w:rPr>
                      <w:t>Proceedings of Life and Applied Sciences</w:t>
                    </w:r>
                  </w:p>
                  <w:p w:rsidR="00BF4FAF" w:rsidRDefault="00BF4FAF" w:rsidP="00BF4FAF">
                    <w:pPr>
                      <w:ind w:left="20"/>
                      <w:rPr>
                        <w:b/>
                        <w:i/>
                      </w:rPr>
                    </w:pPr>
                    <w:r>
                      <w:rPr>
                        <w:b/>
                        <w:i/>
                      </w:rPr>
                      <w:t>Seminar Bioteknologi Nasional (SimBioN) 2024</w:t>
                    </w:r>
                  </w:p>
                  <w:p w:rsidR="00BF4FAF" w:rsidRPr="00284D41" w:rsidRDefault="00BF4FAF" w:rsidP="00BF4FAF">
                    <w:pPr>
                      <w:ind w:left="20"/>
                      <w:rPr>
                        <w:b/>
                        <w:i/>
                      </w:rPr>
                    </w:pPr>
                    <w:r>
                      <w:rPr>
                        <w:b/>
                        <w:i/>
                      </w:rPr>
                      <w:t>Malang, 12 Oktober 2024</w:t>
                    </w:r>
                  </w:p>
                  <w:p w:rsidR="00BF4FAF" w:rsidRPr="00284D41" w:rsidRDefault="00BF4FAF" w:rsidP="00BF4FAF">
                    <w:pPr>
                      <w:rPr>
                        <w:b/>
                        <w:i/>
                      </w:rPr>
                    </w:pPr>
                    <w:r w:rsidRPr="00284D41">
                      <w:rPr>
                        <w:b/>
                        <w:i/>
                        <w:spacing w:val="-2"/>
                      </w:rPr>
                      <w:t>ISSN:</w:t>
                    </w:r>
                    <w:r w:rsidRPr="00284D41">
                      <w:rPr>
                        <w:b/>
                        <w:i/>
                        <w:spacing w:val="3"/>
                      </w:rPr>
                      <w:t xml:space="preserve"> </w:t>
                    </w:r>
                    <w:r>
                      <w:rPr>
                        <w:b/>
                        <w:i/>
                        <w:spacing w:val="-2"/>
                      </w:rPr>
                      <w:t>2964-772X</w:t>
                    </w:r>
                  </w:p>
                  <w:p w:rsidR="00BF4FAF" w:rsidRPr="00284D41" w:rsidRDefault="00BF4FAF" w:rsidP="00BF4FAF">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txbxContent>
              </v:textbox>
              <w10:wrap anchorx="margin" anchory="margin"/>
            </v:shape>
          </w:pict>
        </mc:Fallback>
      </mc:AlternateContent>
    </w:r>
    <w:r>
      <w:rPr>
        <w:noProof/>
      </w:rPr>
      <w:drawing>
        <wp:anchor distT="0" distB="0" distL="0" distR="0" simplePos="0" relativeHeight="251665920" behindDoc="1" locked="0" layoutInCell="1" allowOverlap="1" wp14:anchorId="6B2D5E8D" wp14:editId="46912508">
          <wp:simplePos x="0" y="0"/>
          <wp:positionH relativeFrom="page">
            <wp:posOffset>6306820</wp:posOffset>
          </wp:positionH>
          <wp:positionV relativeFrom="page">
            <wp:posOffset>287020</wp:posOffset>
          </wp:positionV>
          <wp:extent cx="501650" cy="501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F" w:rsidRDefault="00BF4FAF">
    <w:pPr>
      <w:pStyle w:val="Header"/>
    </w:pPr>
    <w:r w:rsidRPr="000546F0">
      <w:rPr>
        <w:noProof/>
      </w:rPr>
      <w:drawing>
        <wp:anchor distT="0" distB="0" distL="0" distR="0" simplePos="0" relativeHeight="251671040" behindDoc="1" locked="0" layoutInCell="1" allowOverlap="1" wp14:anchorId="5380E206" wp14:editId="126BE676">
          <wp:simplePos x="0" y="0"/>
          <wp:positionH relativeFrom="margin">
            <wp:align>right</wp:align>
          </wp:positionH>
          <wp:positionV relativeFrom="page">
            <wp:posOffset>335915</wp:posOffset>
          </wp:positionV>
          <wp:extent cx="501650" cy="501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FAF">
      <w:rPr>
        <w:noProof/>
      </w:rPr>
      <w:drawing>
        <wp:anchor distT="19050" distB="19050" distL="19050" distR="19050" simplePos="0" relativeHeight="251674112" behindDoc="0" locked="0" layoutInCell="1" hidden="0" allowOverlap="1" wp14:anchorId="39F710E4" wp14:editId="564FC694">
          <wp:simplePos x="0" y="0"/>
          <wp:positionH relativeFrom="margin">
            <wp:posOffset>3755484</wp:posOffset>
          </wp:positionH>
          <wp:positionV relativeFrom="paragraph">
            <wp:posOffset>254000</wp:posOffset>
          </wp:positionV>
          <wp:extent cx="1459865" cy="746760"/>
          <wp:effectExtent l="0" t="0" r="6985" b="0"/>
          <wp:wrapNone/>
          <wp:docPr id="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BF4FAF">
      <w:rPr>
        <w:noProof/>
      </w:rPr>
      <mc:AlternateContent>
        <mc:Choice Requires="wps">
          <w:drawing>
            <wp:anchor distT="0" distB="0" distL="114300" distR="114300" simplePos="0" relativeHeight="251673088" behindDoc="1" locked="0" layoutInCell="1" allowOverlap="1" wp14:anchorId="2FB67442" wp14:editId="0596D9A7">
              <wp:simplePos x="0" y="0"/>
              <wp:positionH relativeFrom="margin">
                <wp:align>left</wp:align>
              </wp:positionH>
              <wp:positionV relativeFrom="topMargin">
                <wp:align>bottom</wp:align>
              </wp:positionV>
              <wp:extent cx="4678680" cy="741882"/>
              <wp:effectExtent l="0" t="0" r="762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FAF" w:rsidRDefault="00BF4FAF" w:rsidP="00BF4FAF">
                          <w:pPr>
                            <w:ind w:left="20"/>
                            <w:rPr>
                              <w:b/>
                              <w:i/>
                            </w:rPr>
                          </w:pPr>
                          <w:r>
                            <w:rPr>
                              <w:b/>
                              <w:i/>
                            </w:rPr>
                            <w:t>Proceedings of Life and Applied Sciences</w:t>
                          </w:r>
                        </w:p>
                        <w:p w:rsidR="00BF4FAF" w:rsidRDefault="00BF4FAF" w:rsidP="00BF4FAF">
                          <w:pPr>
                            <w:ind w:left="20"/>
                            <w:rPr>
                              <w:b/>
                              <w:i/>
                            </w:rPr>
                          </w:pPr>
                          <w:r>
                            <w:rPr>
                              <w:b/>
                              <w:i/>
                            </w:rPr>
                            <w:t>Seminar Bioteknologi Nasional (SimBioN) 2024</w:t>
                          </w:r>
                        </w:p>
                        <w:p w:rsidR="00BF4FAF" w:rsidRPr="00284D41" w:rsidRDefault="00BF4FAF" w:rsidP="00BF4FAF">
                          <w:pPr>
                            <w:ind w:left="20"/>
                            <w:rPr>
                              <w:b/>
                              <w:i/>
                            </w:rPr>
                          </w:pPr>
                          <w:r>
                            <w:rPr>
                              <w:b/>
                              <w:i/>
                            </w:rPr>
                            <w:t>Malang, 12 Oktober 2024</w:t>
                          </w:r>
                        </w:p>
                        <w:p w:rsidR="00BF4FAF" w:rsidRPr="00284D41" w:rsidRDefault="00BF4FAF" w:rsidP="00BF4FAF">
                          <w:pPr>
                            <w:rPr>
                              <w:b/>
                              <w:i/>
                            </w:rPr>
                          </w:pPr>
                          <w:r w:rsidRPr="00284D41">
                            <w:rPr>
                              <w:b/>
                              <w:i/>
                              <w:spacing w:val="-2"/>
                            </w:rPr>
                            <w:t>ISSN:</w:t>
                          </w:r>
                          <w:r w:rsidRPr="00284D41">
                            <w:rPr>
                              <w:b/>
                              <w:i/>
                              <w:spacing w:val="3"/>
                            </w:rPr>
                            <w:t xml:space="preserve"> </w:t>
                          </w:r>
                          <w:r>
                            <w:rPr>
                              <w:b/>
                              <w:i/>
                              <w:spacing w:val="-2"/>
                            </w:rPr>
                            <w:t>2964-772X</w:t>
                          </w:r>
                        </w:p>
                        <w:p w:rsidR="00BF4FAF" w:rsidRPr="00284D41" w:rsidRDefault="00BF4FAF" w:rsidP="00BF4FAF">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67442" id="_x0000_t202" coordsize="21600,21600" o:spt="202" path="m,l,21600r21600,l21600,xe">
              <v:stroke joinstyle="miter"/>
              <v:path gradientshapeok="t" o:connecttype="rect"/>
            </v:shapetype>
            <v:shape id="Text Box 9" o:spid="_x0000_s1029" type="#_x0000_t202" style="position:absolute;margin-left:0;margin-top:0;width:368.4pt;height:58.4pt;z-index:-25164339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i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" filled="f" stroked="f">
              <v:textbox inset="0,0,0,0">
                <w:txbxContent>
                  <w:p w:rsidR="00BF4FAF" w:rsidRDefault="00BF4FAF" w:rsidP="00BF4FAF">
                    <w:pPr>
                      <w:ind w:left="20"/>
                      <w:rPr>
                        <w:b/>
                        <w:i/>
                      </w:rPr>
                    </w:pPr>
                    <w:r>
                      <w:rPr>
                        <w:b/>
                        <w:i/>
                      </w:rPr>
                      <w:t>Proceedings of Life and Applied Sciences</w:t>
                    </w:r>
                  </w:p>
                  <w:p w:rsidR="00BF4FAF" w:rsidRDefault="00BF4FAF" w:rsidP="00BF4FAF">
                    <w:pPr>
                      <w:ind w:left="20"/>
                      <w:rPr>
                        <w:b/>
                        <w:i/>
                      </w:rPr>
                    </w:pPr>
                    <w:r>
                      <w:rPr>
                        <w:b/>
                        <w:i/>
                      </w:rPr>
                      <w:t>Seminar Bioteknologi Nasional (SimBioN) 2024</w:t>
                    </w:r>
                  </w:p>
                  <w:p w:rsidR="00BF4FAF" w:rsidRPr="00284D41" w:rsidRDefault="00BF4FAF" w:rsidP="00BF4FAF">
                    <w:pPr>
                      <w:ind w:left="20"/>
                      <w:rPr>
                        <w:b/>
                        <w:i/>
                      </w:rPr>
                    </w:pPr>
                    <w:r>
                      <w:rPr>
                        <w:b/>
                        <w:i/>
                      </w:rPr>
                      <w:t>Malang, 12 Oktober 2024</w:t>
                    </w:r>
                  </w:p>
                  <w:p w:rsidR="00BF4FAF" w:rsidRPr="00284D41" w:rsidRDefault="00BF4FAF" w:rsidP="00BF4FAF">
                    <w:pPr>
                      <w:rPr>
                        <w:b/>
                        <w:i/>
                      </w:rPr>
                    </w:pPr>
                    <w:r w:rsidRPr="00284D41">
                      <w:rPr>
                        <w:b/>
                        <w:i/>
                        <w:spacing w:val="-2"/>
                      </w:rPr>
                      <w:t>ISSN:</w:t>
                    </w:r>
                    <w:r w:rsidRPr="00284D41">
                      <w:rPr>
                        <w:b/>
                        <w:i/>
                        <w:spacing w:val="3"/>
                      </w:rPr>
                      <w:t xml:space="preserve"> </w:t>
                    </w:r>
                    <w:r>
                      <w:rPr>
                        <w:b/>
                        <w:i/>
                        <w:spacing w:val="-2"/>
                      </w:rPr>
                      <w:t>2964-772X</w:t>
                    </w:r>
                  </w:p>
                  <w:p w:rsidR="00BF4FAF" w:rsidRPr="00284D41" w:rsidRDefault="00BF4FAF" w:rsidP="00BF4FAF">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p w:rsidR="00BF4FAF" w:rsidRPr="00284D41" w:rsidRDefault="00BF4FAF" w:rsidP="00BF4FAF">
                    <w:pPr>
                      <w:rPr>
                        <w:b/>
                        <w:i/>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819D2"/>
    <w:multiLevelType w:val="hybridMultilevel"/>
    <w:tmpl w:val="7148643C"/>
    <w:lvl w:ilvl="0" w:tplc="11F0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23F50"/>
    <w:rsid w:val="00037F63"/>
    <w:rsid w:val="000546F0"/>
    <w:rsid w:val="00186319"/>
    <w:rsid w:val="001A7E77"/>
    <w:rsid w:val="00205330"/>
    <w:rsid w:val="002F1232"/>
    <w:rsid w:val="00316752"/>
    <w:rsid w:val="00393254"/>
    <w:rsid w:val="003C1B3C"/>
    <w:rsid w:val="003D51B2"/>
    <w:rsid w:val="00400AD9"/>
    <w:rsid w:val="00502C13"/>
    <w:rsid w:val="0051620C"/>
    <w:rsid w:val="005F420B"/>
    <w:rsid w:val="00636C2C"/>
    <w:rsid w:val="007A6DB9"/>
    <w:rsid w:val="00821ADA"/>
    <w:rsid w:val="00922D72"/>
    <w:rsid w:val="00967BCE"/>
    <w:rsid w:val="009C5F0C"/>
    <w:rsid w:val="00A73D27"/>
    <w:rsid w:val="00AA5910"/>
    <w:rsid w:val="00AC71D2"/>
    <w:rsid w:val="00B41307"/>
    <w:rsid w:val="00B41E28"/>
    <w:rsid w:val="00B5421E"/>
    <w:rsid w:val="00BF4FAF"/>
    <w:rsid w:val="00CA17BC"/>
    <w:rsid w:val="00D34731"/>
    <w:rsid w:val="00D85446"/>
    <w:rsid w:val="00DA77AA"/>
    <w:rsid w:val="00DD6905"/>
    <w:rsid w:val="00EA29C0"/>
    <w:rsid w:val="00EC37B6"/>
    <w:rsid w:val="00EE305A"/>
    <w:rsid w:val="00F92F5E"/>
    <w:rsid w:val="00F93B9D"/>
    <w:rsid w:val="00FA088A"/>
    <w:rsid w:val="00FD3554"/>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uiPriority w:val="1"/>
    <w:qFormat/>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ableParagraph">
    <w:name w:val="Table Paragraph"/>
    <w:basedOn w:val="Normal"/>
    <w:uiPriority w:val="1"/>
    <w:qFormat/>
    <w:rsid w:val="00B41E28"/>
    <w:pPr>
      <w:widowControl w:val="0"/>
      <w:autoSpaceDE w:val="0"/>
      <w:autoSpaceDN w:val="0"/>
      <w:jc w:val="center"/>
    </w:pPr>
    <w:rPr>
      <w:rFonts w:ascii="Cambria" w:eastAsia="Cambria" w:hAnsi="Cambria" w:cs="Cambria"/>
      <w:sz w:val="22"/>
      <w:szCs w:val="22"/>
    </w:rPr>
  </w:style>
  <w:style w:type="table" w:styleId="TableGrid">
    <w:name w:val="Table Grid"/>
    <w:basedOn w:val="TableNormal"/>
    <w:uiPriority w:val="39"/>
    <w:rsid w:val="007A6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ADA"/>
    <w:pPr>
      <w:ind w:left="720"/>
      <w:contextualSpacing/>
    </w:pPr>
  </w:style>
  <w:style w:type="table" w:styleId="PlainTable2">
    <w:name w:val="Plain Table 2"/>
    <w:basedOn w:val="TableNormal"/>
    <w:uiPriority w:val="42"/>
    <w:rsid w:val="00B413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rcsb.org/pdb/home/home.do" TargetMode="External"/><Relationship Id="rId26" Type="http://schemas.openxmlformats.org/officeDocument/2006/relationships/footer" Target="footer10.xml"/><Relationship Id="rId39" Type="http://schemas.openxmlformats.org/officeDocument/2006/relationships/footer" Target="footer15.xml"/><Relationship Id="rId21" Type="http://schemas.openxmlformats.org/officeDocument/2006/relationships/hyperlink" Target="http://www.pubchem.ncbi.nlm.nih.gov" TargetMode="External"/><Relationship Id="rId34" Type="http://schemas.openxmlformats.org/officeDocument/2006/relationships/hyperlink" Target="https://doi.org/10.1158/0008-5472.can-17-2761" TargetMode="External"/><Relationship Id="rId42" Type="http://schemas.openxmlformats.org/officeDocument/2006/relationships/image" Target="media/image4.emf"/><Relationship Id="rId47" Type="http://schemas.openxmlformats.org/officeDocument/2006/relationships/image" Target="media/image6.jpeg"/><Relationship Id="rId50" Type="http://schemas.openxmlformats.org/officeDocument/2006/relationships/image" Target="media/image8.jpeg"/><Relationship Id="rId55" Type="http://schemas.openxmlformats.org/officeDocument/2006/relationships/footer" Target="footer2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pdb.org" TargetMode="External"/><Relationship Id="rId29" Type="http://schemas.openxmlformats.org/officeDocument/2006/relationships/hyperlink" Target="https://doi.org/10.3390/ijms21239069" TargetMode="External"/><Relationship Id="rId41" Type="http://schemas.openxmlformats.org/officeDocument/2006/relationships/footer" Target="footer16.xml"/><Relationship Id="rId54" Type="http://schemas.openxmlformats.org/officeDocument/2006/relationships/image" Target="media/image11.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yperlink" Target="https://doi.org/10.3348/kjr.2018.0231" TargetMode="External"/><Relationship Id="rId37" Type="http://schemas.openxmlformats.org/officeDocument/2006/relationships/hyperlink" Target="https://doi.org/10.3109/19390211.2013.859220" TargetMode="External"/><Relationship Id="rId40" Type="http://schemas.openxmlformats.org/officeDocument/2006/relationships/hyperlink" Target="https://doi.org/10.3389/fphar.2020.632079" TargetMode="External"/><Relationship Id="rId45" Type="http://schemas.openxmlformats.org/officeDocument/2006/relationships/image" Target="media/image5.emf"/><Relationship Id="rId53" Type="http://schemas.openxmlformats.org/officeDocument/2006/relationships/image" Target="media/image10.jpeg"/><Relationship Id="rId58"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hyperlink" Target="https://pubchem.ncbi.nlm.nih.gov"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image" Target="media/image13.jpeg"/><Relationship Id="rId61"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yperlink" Target="https://tox-new.charite.de/protoxIII/" TargetMode="External"/><Relationship Id="rId31" Type="http://schemas.openxmlformats.org/officeDocument/2006/relationships/hyperlink" Target="https://doi.org/10.1056/NEJMoa1913948" TargetMode="External"/><Relationship Id="rId44" Type="http://schemas.openxmlformats.org/officeDocument/2006/relationships/footer" Target="footer17.xml"/><Relationship Id="rId52" Type="http://schemas.openxmlformats.org/officeDocument/2006/relationships/footer" Target="footer20.xml"/><Relationship Id="rId60"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hyperlink" Target="https://doi.org/10.1016/j.chembiol.2014.08.013" TargetMode="External"/><Relationship Id="rId35" Type="http://schemas.openxmlformats.org/officeDocument/2006/relationships/hyperlink" Target="https://doi.org/10.1002/wcms.1240" TargetMode="External"/><Relationship Id="rId43" Type="http://schemas.openxmlformats.org/officeDocument/2006/relationships/header" Target="header4.xml"/><Relationship Id="rId48" Type="http://schemas.openxmlformats.org/officeDocument/2006/relationships/image" Target="media/image7.jpeg"/><Relationship Id="rId56" Type="http://schemas.openxmlformats.org/officeDocument/2006/relationships/image" Target="media/image12.jpeg"/><Relationship Id="rId8" Type="http://schemas.openxmlformats.org/officeDocument/2006/relationships/hyperlink" Target="mailto:listyorini.aljabari@um.ac.id" TargetMode="External"/><Relationship Id="rId51" Type="http://schemas.openxmlformats.org/officeDocument/2006/relationships/image" Target="media/image9.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yperlink" Target="https://doi.org/10.3390/molecules2105055922" TargetMode="External"/><Relationship Id="rId46" Type="http://schemas.openxmlformats.org/officeDocument/2006/relationships/footer" Target="footer18.xml"/><Relationship Id="rId59"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51C7E-618F-40D0-B45E-CAA6DEF0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6881</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2025-02-10T04:33:00Z</cp:lastPrinted>
  <dcterms:created xsi:type="dcterms:W3CDTF">2025-02-03T04:57:00Z</dcterms:created>
  <dcterms:modified xsi:type="dcterms:W3CDTF">2025-02-10T04:34:00Z</dcterms:modified>
</cp:coreProperties>
</file>